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ECF79">
      <w:pPr>
        <w:jc w:val="center"/>
        <w:rPr>
          <w:rFonts w:ascii="宋体" w:hAnsi="宋体" w:eastAsia="宋体" w:cs="Arial"/>
          <w:b/>
          <w:bCs/>
          <w:sz w:val="36"/>
          <w:szCs w:val="36"/>
          <w:highlight w:val="none"/>
        </w:rPr>
      </w:pPr>
    </w:p>
    <w:p w14:paraId="1623B753">
      <w:pPr>
        <w:jc w:val="center"/>
        <w:rPr>
          <w:rFonts w:ascii="宋体" w:hAnsi="宋体" w:eastAsia="宋体" w:cs="Arial"/>
          <w:b/>
          <w:bCs/>
          <w:sz w:val="36"/>
          <w:szCs w:val="36"/>
          <w:highlight w:val="none"/>
        </w:rPr>
      </w:pPr>
    </w:p>
    <w:p w14:paraId="5E6EDB56">
      <w:pPr>
        <w:jc w:val="center"/>
        <w:rPr>
          <w:rFonts w:ascii="宋体" w:hAnsi="宋体" w:eastAsia="宋体" w:cs="Arial"/>
          <w:b/>
          <w:bCs/>
          <w:sz w:val="36"/>
          <w:szCs w:val="36"/>
          <w:highlight w:val="none"/>
        </w:rPr>
      </w:pPr>
    </w:p>
    <w:p w14:paraId="634BC419">
      <w:pPr>
        <w:spacing w:line="240" w:lineRule="atLeast"/>
        <w:ind w:left="0" w:leftChars="0" w:firstLine="0" w:firstLineChars="0"/>
        <w:jc w:val="center"/>
        <w:rPr>
          <w:rFonts w:ascii="黑体" w:hAnsi="黑体" w:eastAsia="黑体" w:cs="黑体"/>
          <w:b/>
          <w:bCs/>
          <w:sz w:val="40"/>
          <w:szCs w:val="40"/>
          <w:highlight w:val="none"/>
        </w:rPr>
      </w:pPr>
      <w:r>
        <w:rPr>
          <w:rFonts w:hint="eastAsia" w:ascii="黑体" w:hAnsi="黑体" w:eastAsia="黑体" w:cs="黑体"/>
          <w:b/>
          <w:bCs/>
          <w:sz w:val="40"/>
          <w:szCs w:val="40"/>
          <w:highlight w:val="none"/>
          <w:lang w:val="en-US" w:eastAsia="zh-CN"/>
        </w:rPr>
        <w:t>托克逊镇</w:t>
      </w:r>
      <w:r>
        <w:rPr>
          <w:rFonts w:hint="eastAsia" w:ascii="黑体" w:hAnsi="黑体" w:eastAsia="黑体" w:cs="黑体"/>
          <w:b/>
          <w:bCs/>
          <w:sz w:val="40"/>
          <w:szCs w:val="40"/>
          <w:highlight w:val="none"/>
        </w:rPr>
        <w:t>项目支出绩效评价报告</w:t>
      </w:r>
    </w:p>
    <w:p w14:paraId="1F8FAF0F">
      <w:pPr>
        <w:spacing w:line="240" w:lineRule="atLeast"/>
        <w:jc w:val="center"/>
        <w:rPr>
          <w:rFonts w:ascii="宋体" w:hAnsi="宋体" w:eastAsia="宋体" w:cs="Arial"/>
          <w:b/>
          <w:bCs/>
          <w:sz w:val="36"/>
          <w:szCs w:val="36"/>
          <w:highlight w:val="none"/>
        </w:rPr>
      </w:pPr>
    </w:p>
    <w:p w14:paraId="7C1E234A">
      <w:pPr>
        <w:spacing w:line="240" w:lineRule="atLeast"/>
        <w:jc w:val="center"/>
        <w:rPr>
          <w:rFonts w:ascii="宋体" w:hAnsi="宋体" w:eastAsia="宋体" w:cs="Arial"/>
          <w:b/>
          <w:bCs/>
          <w:sz w:val="36"/>
          <w:szCs w:val="36"/>
          <w:highlight w:val="none"/>
        </w:rPr>
      </w:pPr>
    </w:p>
    <w:p w14:paraId="75A6F729">
      <w:pPr>
        <w:spacing w:line="240" w:lineRule="atLeast"/>
        <w:jc w:val="center"/>
        <w:rPr>
          <w:rFonts w:ascii="宋体" w:hAnsi="宋体" w:eastAsia="宋体" w:cs="Arial"/>
          <w:b/>
          <w:bCs/>
          <w:sz w:val="36"/>
          <w:szCs w:val="36"/>
          <w:highlight w:val="none"/>
        </w:rPr>
      </w:pPr>
    </w:p>
    <w:p w14:paraId="79832AD1">
      <w:pPr>
        <w:spacing w:line="240" w:lineRule="atLeast"/>
        <w:jc w:val="center"/>
        <w:rPr>
          <w:rFonts w:ascii="宋体" w:hAnsi="宋体" w:eastAsia="宋体" w:cs="Arial"/>
          <w:b/>
          <w:bCs/>
          <w:sz w:val="36"/>
          <w:szCs w:val="36"/>
          <w:highlight w:val="none"/>
        </w:rPr>
      </w:pPr>
    </w:p>
    <w:p w14:paraId="4F59BF10">
      <w:pPr>
        <w:spacing w:line="240" w:lineRule="atLeast"/>
        <w:jc w:val="center"/>
        <w:rPr>
          <w:rFonts w:ascii="宋体" w:hAnsi="宋体" w:eastAsia="宋体" w:cs="Arial"/>
          <w:b/>
          <w:bCs/>
          <w:sz w:val="36"/>
          <w:szCs w:val="36"/>
          <w:highlight w:val="none"/>
        </w:rPr>
      </w:pPr>
    </w:p>
    <w:p w14:paraId="0AD4132E">
      <w:pPr>
        <w:spacing w:line="240" w:lineRule="atLeast"/>
        <w:jc w:val="center"/>
        <w:rPr>
          <w:rFonts w:ascii="宋体" w:hAnsi="宋体" w:eastAsia="宋体" w:cs="Arial"/>
          <w:b/>
          <w:bCs/>
          <w:sz w:val="36"/>
          <w:szCs w:val="36"/>
          <w:highlight w:val="none"/>
        </w:rPr>
      </w:pPr>
    </w:p>
    <w:p w14:paraId="01EDA24F">
      <w:pPr>
        <w:spacing w:line="240" w:lineRule="auto"/>
        <w:jc w:val="center"/>
        <w:rPr>
          <w:rFonts w:ascii="宋体" w:hAnsi="宋体" w:eastAsia="宋体" w:cs="Arial"/>
          <w:b/>
          <w:bCs/>
          <w:sz w:val="36"/>
          <w:szCs w:val="36"/>
          <w:highlight w:val="none"/>
        </w:rPr>
      </w:pPr>
    </w:p>
    <w:p w14:paraId="6D7B253C">
      <w:pPr>
        <w:pStyle w:val="6"/>
        <w:rPr>
          <w:highlight w:val="none"/>
        </w:rPr>
      </w:pPr>
    </w:p>
    <w:p w14:paraId="14995127">
      <w:pPr>
        <w:spacing w:line="360" w:lineRule="auto"/>
        <w:ind w:firstLine="600"/>
        <w:rPr>
          <w:rFonts w:ascii="黑体" w:eastAsia="黑体"/>
          <w:color w:val="000000"/>
          <w:sz w:val="32"/>
          <w:szCs w:val="32"/>
          <w:highlight w:val="none"/>
        </w:rPr>
      </w:pPr>
      <w:r>
        <w:rPr>
          <w:rFonts w:hint="eastAsia" w:ascii="黑体" w:eastAsia="黑体"/>
          <w:color w:val="000000"/>
          <w:sz w:val="32"/>
          <w:szCs w:val="32"/>
          <w:highlight w:val="none"/>
        </w:rPr>
        <w:t>项目名称：托克逊镇乡镇基层运转综合业务项目经费</w:t>
      </w:r>
    </w:p>
    <w:p w14:paraId="2C61A328">
      <w:pPr>
        <w:spacing w:line="360" w:lineRule="auto"/>
        <w:ind w:firstLine="600"/>
        <w:rPr>
          <w:rFonts w:ascii="黑体" w:eastAsia="黑体"/>
          <w:color w:val="000000"/>
          <w:sz w:val="32"/>
          <w:szCs w:val="32"/>
          <w:highlight w:val="none"/>
        </w:rPr>
      </w:pPr>
      <w:r>
        <w:rPr>
          <w:rFonts w:hint="eastAsia" w:ascii="黑体" w:eastAsia="黑体"/>
          <w:color w:val="000000"/>
          <w:sz w:val="32"/>
          <w:szCs w:val="32"/>
          <w:highlight w:val="none"/>
        </w:rPr>
        <w:t>实施单位（公章）：</w:t>
      </w:r>
      <w:r>
        <w:rPr>
          <w:rFonts w:hint="eastAsia" w:ascii="黑体" w:eastAsia="黑体"/>
          <w:color w:val="000000"/>
          <w:sz w:val="32"/>
          <w:szCs w:val="32"/>
          <w:highlight w:val="none"/>
          <w:lang w:val="en-US" w:eastAsia="zh-CN"/>
        </w:rPr>
        <w:t>托克逊县</w:t>
      </w:r>
      <w:r>
        <w:rPr>
          <w:rFonts w:hint="eastAsia" w:ascii="黑体" w:eastAsia="黑体"/>
          <w:color w:val="000000"/>
          <w:sz w:val="32"/>
          <w:szCs w:val="32"/>
          <w:highlight w:val="none"/>
        </w:rPr>
        <w:t>托克逊镇</w:t>
      </w:r>
      <w:r>
        <w:rPr>
          <w:rFonts w:hint="eastAsia" w:ascii="黑体" w:eastAsia="黑体"/>
          <w:color w:val="000000"/>
          <w:sz w:val="32"/>
          <w:szCs w:val="32"/>
          <w:highlight w:val="none"/>
          <w:lang w:val="en-US" w:eastAsia="zh-CN"/>
        </w:rPr>
        <w:t>人民</w:t>
      </w:r>
      <w:r>
        <w:rPr>
          <w:rFonts w:hint="eastAsia" w:ascii="黑体" w:eastAsia="黑体"/>
          <w:color w:val="000000"/>
          <w:sz w:val="32"/>
          <w:szCs w:val="32"/>
          <w:highlight w:val="none"/>
        </w:rPr>
        <w:t>政府</w:t>
      </w:r>
    </w:p>
    <w:p w14:paraId="00D7E8D0">
      <w:pPr>
        <w:spacing w:line="360" w:lineRule="auto"/>
        <w:ind w:firstLine="600"/>
        <w:rPr>
          <w:rFonts w:hint="eastAsia" w:ascii="黑体" w:eastAsia="黑体"/>
          <w:color w:val="000000"/>
          <w:sz w:val="32"/>
          <w:szCs w:val="32"/>
          <w:highlight w:val="none"/>
          <w:lang w:val="en-US" w:eastAsia="zh-CN"/>
        </w:rPr>
      </w:pPr>
      <w:r>
        <w:rPr>
          <w:rFonts w:hint="eastAsia" w:ascii="黑体" w:eastAsia="黑体"/>
          <w:color w:val="000000"/>
          <w:sz w:val="32"/>
          <w:szCs w:val="32"/>
          <w:highlight w:val="none"/>
        </w:rPr>
        <w:t>项目负责人（签章）：</w:t>
      </w:r>
      <w:r>
        <w:rPr>
          <w:rFonts w:hint="eastAsia" w:ascii="黑体" w:eastAsia="黑体"/>
          <w:color w:val="000000"/>
          <w:sz w:val="32"/>
          <w:szCs w:val="32"/>
          <w:highlight w:val="none"/>
          <w:lang w:val="en-US" w:eastAsia="zh-CN"/>
        </w:rPr>
        <w:t>陈亮</w:t>
      </w:r>
    </w:p>
    <w:p w14:paraId="29229C05">
      <w:pPr>
        <w:spacing w:line="360" w:lineRule="auto"/>
        <w:ind w:firstLine="600"/>
        <w:rPr>
          <w:rFonts w:hint="default" w:ascii="黑体" w:eastAsia="黑体"/>
          <w:color w:val="000000"/>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000000"/>
          <w:sz w:val="32"/>
          <w:szCs w:val="32"/>
          <w:highlight w:val="none"/>
        </w:rPr>
        <w:t>填报时间：202</w:t>
      </w:r>
      <w:r>
        <w:rPr>
          <w:rFonts w:hint="eastAsia" w:ascii="黑体" w:eastAsia="黑体"/>
          <w:color w:val="000000"/>
          <w:sz w:val="32"/>
          <w:szCs w:val="32"/>
          <w:highlight w:val="none"/>
          <w:lang w:val="en-US" w:eastAsia="zh-CN"/>
        </w:rPr>
        <w:t>4</w:t>
      </w:r>
      <w:r>
        <w:rPr>
          <w:rFonts w:hint="eastAsia" w:ascii="黑体" w:eastAsia="黑体"/>
          <w:color w:val="000000"/>
          <w:sz w:val="32"/>
          <w:szCs w:val="32"/>
          <w:highlight w:val="none"/>
        </w:rPr>
        <w:t>年</w:t>
      </w:r>
      <w:r>
        <w:rPr>
          <w:rFonts w:hint="eastAsia" w:ascii="黑体" w:eastAsia="黑体"/>
          <w:color w:val="000000"/>
          <w:sz w:val="32"/>
          <w:szCs w:val="32"/>
          <w:highlight w:val="none"/>
          <w:lang w:val="en-US" w:eastAsia="zh-CN"/>
        </w:rPr>
        <w:t>3</w:t>
      </w:r>
      <w:r>
        <w:rPr>
          <w:rFonts w:hint="eastAsia" w:ascii="黑体" w:eastAsia="黑体"/>
          <w:color w:val="000000"/>
          <w:sz w:val="32"/>
          <w:szCs w:val="32"/>
          <w:highlight w:val="none"/>
        </w:rPr>
        <w:t>月</w:t>
      </w:r>
      <w:r>
        <w:rPr>
          <w:rFonts w:hint="eastAsia" w:ascii="黑体" w:eastAsia="黑体"/>
          <w:color w:val="000000"/>
          <w:sz w:val="32"/>
          <w:szCs w:val="32"/>
          <w:highlight w:val="none"/>
          <w:lang w:val="en-US" w:eastAsia="zh-CN"/>
        </w:rPr>
        <w:t>15日</w:t>
      </w:r>
    </w:p>
    <w:p w14:paraId="4DCFEFB8">
      <w:pPr>
        <w:spacing w:line="240" w:lineRule="atLeast"/>
        <w:jc w:val="center"/>
        <w:rPr>
          <w:rFonts w:ascii="黑体" w:hAnsi="黑体" w:eastAsia="黑体" w:cs="黑体"/>
          <w:b/>
          <w:bCs/>
          <w:sz w:val="36"/>
          <w:szCs w:val="36"/>
          <w:highlight w:val="none"/>
        </w:rPr>
      </w:pPr>
      <w:r>
        <w:rPr>
          <w:rFonts w:hint="eastAsia" w:ascii="黑体" w:hAnsi="黑体" w:eastAsia="黑体" w:cs="黑体"/>
          <w:b/>
          <w:bCs/>
          <w:color w:val="auto"/>
          <w:sz w:val="36"/>
          <w:szCs w:val="36"/>
          <w:highlight w:val="none"/>
          <w:lang w:val="en-US" w:eastAsia="zh-CN"/>
        </w:rPr>
        <w:t>托克逊镇</w:t>
      </w:r>
      <w:r>
        <w:rPr>
          <w:rFonts w:hint="eastAsia" w:ascii="黑体" w:hAnsi="黑体" w:eastAsia="黑体" w:cs="黑体"/>
          <w:b/>
          <w:bCs/>
          <w:sz w:val="36"/>
          <w:szCs w:val="36"/>
          <w:highlight w:val="none"/>
        </w:rPr>
        <w:t>项目支出绩效评价报告</w:t>
      </w:r>
    </w:p>
    <w:p w14:paraId="1AA8D997">
      <w:pPr>
        <w:pStyle w:val="4"/>
        <w:ind w:firstLine="640"/>
        <w:rPr>
          <w:highlight w:val="none"/>
        </w:rPr>
      </w:pPr>
      <w:r>
        <w:rPr>
          <w:rFonts w:hint="eastAsia"/>
          <w:highlight w:val="none"/>
        </w:rPr>
        <w:t>一、基本情况</w:t>
      </w:r>
    </w:p>
    <w:p w14:paraId="2E0F03EE">
      <w:pPr>
        <w:pStyle w:val="6"/>
        <w:ind w:firstLine="562"/>
        <w:rPr>
          <w:highlight w:val="none"/>
        </w:rPr>
      </w:pPr>
      <w:r>
        <w:rPr>
          <w:rFonts w:hint="eastAsia"/>
          <w:highlight w:val="none"/>
        </w:rPr>
        <w:t>1.项目背景</w:t>
      </w:r>
    </w:p>
    <w:p w14:paraId="2E4C435B">
      <w:pPr>
        <w:pStyle w:val="5"/>
        <w:ind w:firstLine="643"/>
        <w:rPr>
          <w:rFonts w:hint="eastAsia"/>
          <w:highlight w:val="none"/>
        </w:rPr>
      </w:pPr>
      <w:r>
        <w:rPr>
          <w:rFonts w:hint="eastAsia"/>
          <w:highlight w:val="none"/>
        </w:rPr>
        <w:t>（一）项目概况</w:t>
      </w:r>
    </w:p>
    <w:p w14:paraId="25CF171F">
      <w:pPr>
        <w:rPr>
          <w:color w:val="FF0000"/>
          <w:sz w:val="28"/>
          <w:szCs w:val="28"/>
          <w:highlight w:val="none"/>
        </w:rPr>
      </w:pPr>
      <w:r>
        <w:rPr>
          <w:rFonts w:hint="default" w:ascii="Times New Roman" w:hAnsi="Times New Roman" w:eastAsia="仿宋_GB2312" w:cs="Times New Roman"/>
          <w:color w:val="000000"/>
          <w:spacing w:val="0"/>
          <w:kern w:val="0"/>
          <w:sz w:val="28"/>
          <w:szCs w:val="28"/>
          <w:highlight w:val="none"/>
          <w:lang w:val="en-US" w:eastAsia="zh-CN"/>
        </w:rPr>
        <w:t>托克逊县托克逊镇人民政府，</w:t>
      </w:r>
      <w:r>
        <w:rPr>
          <w:rFonts w:hint="eastAsia" w:cs="Times New Roman"/>
          <w:color w:val="000000"/>
          <w:spacing w:val="0"/>
          <w:kern w:val="0"/>
          <w:sz w:val="28"/>
          <w:szCs w:val="28"/>
          <w:highlight w:val="none"/>
          <w:lang w:val="en-US" w:eastAsia="zh-CN"/>
        </w:rPr>
        <w:t>坚持以习近平新时代中国特色社会主义思想为指导</w:t>
      </w:r>
      <w:r>
        <w:rPr>
          <w:rFonts w:hint="default" w:ascii="Times New Roman" w:hAnsi="Times New Roman" w:eastAsia="仿宋_GB2312" w:cs="Times New Roman"/>
          <w:color w:val="000000"/>
          <w:spacing w:val="0"/>
          <w:kern w:val="0"/>
          <w:sz w:val="28"/>
          <w:szCs w:val="28"/>
          <w:highlight w:val="none"/>
          <w:lang w:val="en-US" w:eastAsia="zh-CN"/>
        </w:rPr>
        <w:t>，深入学习宣传贯彻落实党的十九届历次会议精神、党的二十大精神以及习近平总书记在新疆考察调研时的重要讲话精神，完整准确贯彻新时代党的治疆方略，凝心聚力、攻坚克难，落实落细工作举措，着力保障和改善民生。</w:t>
      </w:r>
      <w:r>
        <w:rPr>
          <w:rFonts w:hint="eastAsia" w:ascii="Times New Roman" w:hAnsi="Times New Roman" w:cs="Times New Roman"/>
          <w:color w:val="000000"/>
          <w:spacing w:val="0"/>
          <w:kern w:val="0"/>
          <w:sz w:val="28"/>
          <w:szCs w:val="28"/>
          <w:highlight w:val="none"/>
          <w:lang w:val="en-US" w:eastAsia="zh-CN"/>
        </w:rPr>
        <w:t>为进一步</w:t>
      </w:r>
      <w:r>
        <w:rPr>
          <w:rFonts w:hint="default" w:ascii="Times New Roman" w:hAnsi="Times New Roman" w:eastAsia="仿宋_GB2312" w:cs="Times New Roman"/>
          <w:b w:val="0"/>
          <w:bCs w:val="0"/>
          <w:spacing w:val="0"/>
          <w:sz w:val="28"/>
          <w:szCs w:val="28"/>
          <w:highlight w:val="none"/>
          <w:lang w:val="en-US" w:eastAsia="zh-CN"/>
        </w:rPr>
        <w:t>确保落实基层运转综合业务工作有序开展</w:t>
      </w:r>
      <w:r>
        <w:rPr>
          <w:rFonts w:hint="eastAsia" w:ascii="Times New Roman" w:hAnsi="Times New Roman" w:cs="Times New Roman"/>
          <w:b w:val="0"/>
          <w:bCs w:val="0"/>
          <w:spacing w:val="0"/>
          <w:sz w:val="28"/>
          <w:szCs w:val="28"/>
          <w:highlight w:val="none"/>
          <w:lang w:val="en-US" w:eastAsia="zh-CN"/>
        </w:rPr>
        <w:t>，</w:t>
      </w:r>
      <w:r>
        <w:rPr>
          <w:rFonts w:hint="default" w:ascii="Times New Roman" w:hAnsi="Times New Roman" w:eastAsia="仿宋_GB2312" w:cs="Times New Roman"/>
          <w:b w:val="0"/>
          <w:bCs w:val="0"/>
          <w:spacing w:val="0"/>
          <w:sz w:val="28"/>
          <w:szCs w:val="28"/>
          <w:highlight w:val="none"/>
          <w:lang w:val="en-US" w:eastAsia="zh-CN"/>
        </w:rPr>
        <w:t>提高人民群众安全感，幸福感和获得感</w:t>
      </w:r>
      <w:r>
        <w:rPr>
          <w:rFonts w:hint="eastAsia" w:ascii="Times New Roman" w:hAnsi="Times New Roman" w:cs="Times New Roman"/>
          <w:b w:val="0"/>
          <w:bCs w:val="0"/>
          <w:spacing w:val="0"/>
          <w:sz w:val="28"/>
          <w:szCs w:val="28"/>
          <w:highlight w:val="none"/>
          <w:lang w:val="en-US" w:eastAsia="zh-CN"/>
        </w:rPr>
        <w:t>，</w:t>
      </w:r>
      <w:r>
        <w:rPr>
          <w:rFonts w:hint="default" w:ascii="Times New Roman" w:hAnsi="Times New Roman" w:eastAsia="仿宋_GB2312" w:cs="Times New Roman"/>
          <w:b w:val="0"/>
          <w:bCs w:val="0"/>
          <w:spacing w:val="0"/>
          <w:sz w:val="28"/>
          <w:szCs w:val="28"/>
          <w:highlight w:val="none"/>
          <w:lang w:val="en-US" w:eastAsia="zh-CN"/>
        </w:rPr>
        <w:t>进一步坚决落实中央、自治区重大决算部署，落实社会稳定和长治久安总目标</w:t>
      </w:r>
      <w:r>
        <w:rPr>
          <w:rFonts w:hint="eastAsia" w:ascii="Times New Roman" w:hAnsi="Times New Roman" w:cs="Times New Roman"/>
          <w:b w:val="0"/>
          <w:bCs w:val="0"/>
          <w:spacing w:val="0"/>
          <w:sz w:val="28"/>
          <w:szCs w:val="28"/>
          <w:highlight w:val="none"/>
          <w:lang w:val="en-US" w:eastAsia="zh-CN"/>
        </w:rPr>
        <w:t>，开展该项目</w:t>
      </w:r>
      <w:r>
        <w:rPr>
          <w:rFonts w:hint="default" w:ascii="Times New Roman" w:hAnsi="Times New Roman" w:eastAsia="仿宋_GB2312" w:cs="Times New Roman"/>
          <w:b w:val="0"/>
          <w:bCs w:val="0"/>
          <w:spacing w:val="0"/>
          <w:sz w:val="28"/>
          <w:szCs w:val="28"/>
          <w:highlight w:val="none"/>
          <w:lang w:val="en-US" w:eastAsia="zh-CN"/>
        </w:rPr>
        <w:t>。</w:t>
      </w:r>
    </w:p>
    <w:p w14:paraId="4221562C">
      <w:pPr>
        <w:pStyle w:val="6"/>
        <w:ind w:firstLine="562"/>
        <w:rPr>
          <w:highlight w:val="none"/>
        </w:rPr>
      </w:pPr>
      <w:r>
        <w:rPr>
          <w:rFonts w:hint="eastAsia"/>
          <w:highlight w:val="none"/>
        </w:rPr>
        <w:t>2.项目实施主体</w:t>
      </w:r>
    </w:p>
    <w:p w14:paraId="08489C03">
      <w:pPr>
        <w:ind w:firstLine="562"/>
        <w:rPr>
          <w:rFonts w:hint="eastAsia"/>
          <w:b/>
          <w:highlight w:val="none"/>
        </w:rPr>
      </w:pPr>
      <w:r>
        <w:rPr>
          <w:rFonts w:hint="eastAsia"/>
          <w:b/>
          <w:highlight w:val="none"/>
        </w:rPr>
        <w:t>（1）单位职能</w:t>
      </w:r>
    </w:p>
    <w:p w14:paraId="44485691">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落实贯彻执行党的路线、方针、政策和上级党组织及本镇党员代表大会（党员大会）的决议；讨论决定本镇经济建设和社会发展中的重大问题。需由镇政权机关或集体经济组织决定的问题，由镇政权机关或集体经济组织依照法律和有关规定作出决定；镇政府预(决)算编制、预算执行、社会养老保险征管、财政转移支付和专项资金监督和管理，计划生育协管员补贴，信息员补贴等各项补贴资金发放和监管、镇公益服务资金的投入和兑付管理；履行镇各社区和各站所财务代管和服务、监督管理、统发工资 、人事工作、镇国有资产管理和镇政府债务管理，镇、社区财务公开、债权债务清理、行政事业性票据管理等各项工作；负责组织和管理乡镇财政收入和支出，编制执行乡镇年度财政预算，监督乡镇单位预算执行，编制财政决算;领导镇政权机关和群众组织，支持和保证这些机关和组织依照国家法律法规及各自章程充分行使职权；加强镇党委自身建设和以党支部为核心的社区基层组织建设；按照干部管理权限，负责对干部教育、培养、选拔和监督工作。协助管理上级有关部门驻镇单位的干部；领导本镇的社会主义民主法制建设和精神文明建设，做好社会治安综合治理及计划生育工作。执行国家行政机关的决定、命令和国家制定的法令、法规，执行本级人民代表大会的各项决议，并报告执行决议、决定和命令的情况；制定并落实本行政区域的经济计划和措施，全面提高人民群众的生活水平和生活质量；承担国有资产、集体资产管理、监督及增值保值责任；开展社会主义民主和法制的宣传教育，保障公民的权利，打击违法犯罪，维护社会稳定；制定社会各项事业发展计划，发展教育、卫生、科技、民政、广播电视、文化、体育事业；加强计划生育工作；推进社会保障、社会福利事业和养老保险等工作。</w:t>
      </w:r>
    </w:p>
    <w:p w14:paraId="1B9C99FF">
      <w:pPr>
        <w:ind w:firstLine="562"/>
        <w:rPr>
          <w:rFonts w:hint="eastAsia" w:eastAsia="仿宋_GB2312"/>
          <w:b/>
          <w:highlight w:val="none"/>
          <w:lang w:eastAsia="zh-CN"/>
        </w:rPr>
      </w:pPr>
      <w:r>
        <w:rPr>
          <w:rFonts w:hint="eastAsia"/>
          <w:b/>
          <w:highlight w:val="none"/>
        </w:rPr>
        <w:t>（2）</w:t>
      </w:r>
      <w:r>
        <w:rPr>
          <w:rFonts w:hint="eastAsia"/>
          <w:b/>
          <w:highlight w:val="none"/>
          <w:lang w:val="en-US" w:eastAsia="zh-CN"/>
        </w:rPr>
        <w:t>机构设置及</w:t>
      </w:r>
      <w:r>
        <w:rPr>
          <w:rFonts w:hint="eastAsia"/>
          <w:b/>
          <w:highlight w:val="none"/>
          <w:lang w:eastAsia="zh-CN"/>
        </w:rPr>
        <w:t>人员情况</w:t>
      </w:r>
    </w:p>
    <w:p w14:paraId="14BE285D">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托克逊县托克逊镇人民政府共设有4个内设机构：党政办公室、党建办公室、综合协调办公室、综合执法办公室。</w:t>
      </w:r>
    </w:p>
    <w:p w14:paraId="1C6316E2">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4个综合性事业单位：党群服务中兴、社会保障（民政）服务中心（退役军人服务站）、经济发展(统计)服务中心(财政所)、综治中心（网格化服务中心）。</w:t>
      </w:r>
    </w:p>
    <w:p w14:paraId="560A05D5">
      <w:pPr>
        <w:rPr>
          <w:rFonts w:hint="default"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托克逊镇社区10个：天泉社区、山泉社区、龙泉社区、玉泉社区、银泉社区、金泉社区、阳光社区、滨河社区、九龙社区、友好社区。</w:t>
      </w:r>
    </w:p>
    <w:p w14:paraId="13BDDBE4">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单位人员编制数共115人，实有在职人员</w:t>
      </w:r>
      <w:r>
        <w:rPr>
          <w:rFonts w:hint="eastAsia" w:cs="Times New Roman"/>
          <w:color w:val="000000"/>
          <w:spacing w:val="0"/>
          <w:kern w:val="0"/>
          <w:sz w:val="28"/>
          <w:szCs w:val="28"/>
          <w:highlight w:val="none"/>
          <w:lang w:val="en-US" w:eastAsia="zh-CN"/>
        </w:rPr>
        <w:t>:行政编制26人，事业编制84</w:t>
      </w:r>
      <w:r>
        <w:rPr>
          <w:rFonts w:hint="eastAsia" w:ascii="Times New Roman" w:hAnsi="Times New Roman" w:eastAsia="仿宋_GB2312" w:cs="Times New Roman"/>
          <w:color w:val="000000"/>
          <w:spacing w:val="0"/>
          <w:kern w:val="0"/>
          <w:sz w:val="28"/>
          <w:szCs w:val="28"/>
          <w:highlight w:val="none"/>
          <w:lang w:val="en-US" w:eastAsia="zh-CN"/>
        </w:rPr>
        <w:t>人，退休人员36人。</w:t>
      </w:r>
    </w:p>
    <w:p w14:paraId="57EDCF7D">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6CF5F71C">
      <w:pPr>
        <w:rPr>
          <w:rFonts w:hint="default"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项目名称：托克逊镇人民政府乡镇基层运转综合业务项目经费</w:t>
      </w:r>
    </w:p>
    <w:p w14:paraId="4B46A4C8">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项目主要内容：确保我镇落实基层运转综合业务正常运转，资金主要用于完善镇级基层基础设施，改善社容社貌，建设美丽社区等公益事业建设。</w:t>
      </w:r>
    </w:p>
    <w:p w14:paraId="16F504F1">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项目实施时间：本项目实施时间为2023年1月-2023年12月</w:t>
      </w:r>
    </w:p>
    <w:p w14:paraId="25A6936C">
      <w:pPr>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项目实施情况：截止2023年12月底，</w:t>
      </w:r>
      <w:r>
        <w:rPr>
          <w:rFonts w:hint="eastAsia" w:cs="Times New Roman"/>
          <w:color w:val="000000"/>
          <w:spacing w:val="0"/>
          <w:kern w:val="0"/>
          <w:sz w:val="28"/>
          <w:szCs w:val="28"/>
          <w:highlight w:val="none"/>
          <w:lang w:val="en-US" w:eastAsia="zh-CN"/>
        </w:rPr>
        <w:t>通过</w:t>
      </w:r>
      <w:r>
        <w:rPr>
          <w:rFonts w:hint="eastAsia" w:ascii="Times New Roman" w:hAnsi="Times New Roman" w:eastAsia="仿宋_GB2312" w:cs="Times New Roman"/>
          <w:color w:val="000000"/>
          <w:spacing w:val="0"/>
          <w:kern w:val="0"/>
          <w:sz w:val="28"/>
          <w:szCs w:val="28"/>
          <w:highlight w:val="none"/>
          <w:lang w:val="en-US" w:eastAsia="zh-CN"/>
        </w:rPr>
        <w:t>乡镇基层运转综合业务项目经费</w:t>
      </w:r>
      <w:r>
        <w:rPr>
          <w:rFonts w:hint="eastAsia" w:cs="Times New Roman"/>
          <w:color w:val="000000"/>
          <w:spacing w:val="0"/>
          <w:kern w:val="0"/>
          <w:sz w:val="28"/>
          <w:szCs w:val="28"/>
          <w:highlight w:val="none"/>
          <w:lang w:val="en-US" w:eastAsia="zh-CN"/>
        </w:rPr>
        <w:t>支持，加强了各社区建设，</w:t>
      </w:r>
      <w:r>
        <w:rPr>
          <w:rFonts w:hint="eastAsia" w:ascii="Times New Roman" w:hAnsi="Times New Roman" w:eastAsia="仿宋_GB2312" w:cs="Times New Roman"/>
          <w:color w:val="000000"/>
          <w:spacing w:val="0"/>
          <w:kern w:val="0"/>
          <w:sz w:val="28"/>
          <w:szCs w:val="28"/>
          <w:highlight w:val="none"/>
          <w:lang w:val="en-US" w:eastAsia="zh-CN"/>
        </w:rPr>
        <w:t>保障了10个社区</w:t>
      </w:r>
      <w:r>
        <w:rPr>
          <w:rFonts w:hint="eastAsia" w:cs="Times New Roman"/>
          <w:color w:val="000000"/>
          <w:spacing w:val="0"/>
          <w:kern w:val="0"/>
          <w:sz w:val="28"/>
          <w:szCs w:val="28"/>
          <w:highlight w:val="none"/>
          <w:lang w:val="en-US" w:eastAsia="zh-CN"/>
        </w:rPr>
        <w:t>各项业务</w:t>
      </w:r>
      <w:r>
        <w:rPr>
          <w:rFonts w:hint="eastAsia" w:ascii="Times New Roman" w:hAnsi="Times New Roman" w:eastAsia="仿宋_GB2312" w:cs="Times New Roman"/>
          <w:color w:val="000000"/>
          <w:spacing w:val="0"/>
          <w:kern w:val="0"/>
          <w:sz w:val="28"/>
          <w:szCs w:val="28"/>
          <w:highlight w:val="none"/>
          <w:lang w:val="en-US" w:eastAsia="zh-CN"/>
        </w:rPr>
        <w:t>工作</w:t>
      </w:r>
      <w:r>
        <w:rPr>
          <w:rFonts w:hint="eastAsia" w:cs="Times New Roman"/>
          <w:color w:val="000000"/>
          <w:spacing w:val="0"/>
          <w:kern w:val="0"/>
          <w:sz w:val="28"/>
          <w:szCs w:val="28"/>
          <w:highlight w:val="none"/>
          <w:lang w:val="en-US" w:eastAsia="zh-CN"/>
        </w:rPr>
        <w:t>的有序开展</w:t>
      </w:r>
      <w:r>
        <w:rPr>
          <w:rFonts w:hint="eastAsia" w:ascii="Times New Roman" w:hAnsi="Times New Roman" w:eastAsia="仿宋_GB2312" w:cs="Times New Roman"/>
          <w:color w:val="000000"/>
          <w:spacing w:val="0"/>
          <w:kern w:val="0"/>
          <w:sz w:val="28"/>
          <w:szCs w:val="28"/>
          <w:highlight w:val="none"/>
          <w:lang w:val="en-US" w:eastAsia="zh-CN"/>
        </w:rPr>
        <w:t>运</w:t>
      </w:r>
      <w:r>
        <w:rPr>
          <w:rFonts w:hint="eastAsia" w:cs="Times New Roman"/>
          <w:color w:val="000000"/>
          <w:spacing w:val="0"/>
          <w:kern w:val="0"/>
          <w:sz w:val="28"/>
          <w:szCs w:val="28"/>
          <w:highlight w:val="none"/>
          <w:lang w:val="en-US" w:eastAsia="zh-CN"/>
        </w:rPr>
        <w:t>行，</w:t>
      </w:r>
      <w:r>
        <w:rPr>
          <w:rFonts w:hint="eastAsia" w:ascii="Times New Roman" w:hAnsi="Times New Roman" w:eastAsia="仿宋_GB2312" w:cs="Times New Roman"/>
          <w:color w:val="000000"/>
          <w:spacing w:val="0"/>
          <w:kern w:val="0"/>
          <w:sz w:val="28"/>
          <w:szCs w:val="28"/>
          <w:highlight w:val="none"/>
          <w:lang w:val="en-US" w:eastAsia="zh-CN"/>
        </w:rPr>
        <w:t>按时缴纳电费14万元、电话费4万元，购买办公用品30</w:t>
      </w:r>
      <w:r>
        <w:rPr>
          <w:rFonts w:hint="eastAsia" w:cs="Times New Roman"/>
          <w:color w:val="000000"/>
          <w:spacing w:val="0"/>
          <w:kern w:val="0"/>
          <w:sz w:val="28"/>
          <w:szCs w:val="28"/>
          <w:highlight w:val="none"/>
          <w:lang w:val="en-US" w:eastAsia="zh-CN"/>
        </w:rPr>
        <w:t>.06</w:t>
      </w:r>
      <w:r>
        <w:rPr>
          <w:rFonts w:hint="eastAsia" w:ascii="Times New Roman" w:hAnsi="Times New Roman" w:eastAsia="仿宋_GB2312" w:cs="Times New Roman"/>
          <w:color w:val="000000"/>
          <w:spacing w:val="0"/>
          <w:kern w:val="0"/>
          <w:sz w:val="28"/>
          <w:szCs w:val="28"/>
          <w:highlight w:val="none"/>
          <w:lang w:val="en-US" w:eastAsia="zh-CN"/>
        </w:rPr>
        <w:t>万元，基建维修维护费(含维修维护费)217</w:t>
      </w:r>
      <w:r>
        <w:rPr>
          <w:rFonts w:hint="eastAsia" w:cs="Times New Roman"/>
          <w:color w:val="000000"/>
          <w:spacing w:val="0"/>
          <w:kern w:val="0"/>
          <w:sz w:val="28"/>
          <w:szCs w:val="28"/>
          <w:highlight w:val="none"/>
          <w:lang w:val="en-US" w:eastAsia="zh-CN"/>
        </w:rPr>
        <w:t>.17</w:t>
      </w:r>
      <w:r>
        <w:rPr>
          <w:rFonts w:hint="eastAsia" w:ascii="Times New Roman" w:hAnsi="Times New Roman" w:eastAsia="仿宋_GB2312" w:cs="Times New Roman"/>
          <w:color w:val="000000"/>
          <w:spacing w:val="0"/>
          <w:kern w:val="0"/>
          <w:sz w:val="28"/>
          <w:szCs w:val="28"/>
          <w:highlight w:val="none"/>
          <w:lang w:val="en-US" w:eastAsia="zh-CN"/>
        </w:rPr>
        <w:t>万元，其他活动经费购买商品和服务支出56</w:t>
      </w:r>
      <w:r>
        <w:rPr>
          <w:rFonts w:hint="eastAsia" w:cs="Times New Roman"/>
          <w:color w:val="000000"/>
          <w:spacing w:val="0"/>
          <w:kern w:val="0"/>
          <w:sz w:val="28"/>
          <w:szCs w:val="28"/>
          <w:highlight w:val="none"/>
          <w:lang w:val="en-US" w:eastAsia="zh-CN"/>
        </w:rPr>
        <w:t>.42</w:t>
      </w:r>
      <w:r>
        <w:rPr>
          <w:rFonts w:hint="eastAsia" w:ascii="Times New Roman" w:hAnsi="Times New Roman" w:eastAsia="仿宋_GB2312" w:cs="Times New Roman"/>
          <w:color w:val="000000"/>
          <w:spacing w:val="0"/>
          <w:kern w:val="0"/>
          <w:sz w:val="28"/>
          <w:szCs w:val="28"/>
          <w:highlight w:val="none"/>
          <w:lang w:val="en-US" w:eastAsia="zh-CN"/>
        </w:rPr>
        <w:t>万元，</w:t>
      </w:r>
      <w:r>
        <w:rPr>
          <w:rFonts w:hint="eastAsia" w:cs="Times New Roman"/>
          <w:color w:val="000000"/>
          <w:spacing w:val="0"/>
          <w:kern w:val="0"/>
          <w:sz w:val="28"/>
          <w:szCs w:val="28"/>
          <w:highlight w:val="none"/>
          <w:lang w:val="en-US" w:eastAsia="zh-CN"/>
        </w:rPr>
        <w:t>为各社区工作提供良好的硬件条件</w:t>
      </w:r>
      <w:r>
        <w:rPr>
          <w:rFonts w:hint="eastAsia" w:ascii="Times New Roman" w:hAnsi="Times New Roman" w:eastAsia="仿宋_GB2312" w:cs="Times New Roman"/>
          <w:color w:val="000000"/>
          <w:spacing w:val="0"/>
          <w:kern w:val="0"/>
          <w:sz w:val="28"/>
          <w:szCs w:val="28"/>
          <w:highlight w:val="none"/>
          <w:lang w:val="en-US" w:eastAsia="zh-CN"/>
        </w:rPr>
        <w:t>，</w:t>
      </w:r>
      <w:r>
        <w:rPr>
          <w:rFonts w:hint="eastAsia" w:cs="Times New Roman"/>
          <w:color w:val="000000"/>
          <w:spacing w:val="0"/>
          <w:kern w:val="0"/>
          <w:sz w:val="28"/>
          <w:szCs w:val="28"/>
          <w:highlight w:val="none"/>
          <w:lang w:val="en-US" w:eastAsia="zh-CN"/>
        </w:rPr>
        <w:t>提高了社区基层</w:t>
      </w:r>
      <w:r>
        <w:rPr>
          <w:rFonts w:hint="eastAsia" w:ascii="Times New Roman" w:hAnsi="Times New Roman" w:eastAsia="仿宋_GB2312" w:cs="Times New Roman"/>
          <w:color w:val="000000"/>
          <w:spacing w:val="0"/>
          <w:kern w:val="0"/>
          <w:sz w:val="28"/>
          <w:szCs w:val="28"/>
          <w:highlight w:val="none"/>
          <w:lang w:val="en-US" w:eastAsia="zh-CN"/>
        </w:rPr>
        <w:t>工作效率，</w:t>
      </w:r>
      <w:r>
        <w:rPr>
          <w:rFonts w:hint="eastAsia" w:ascii="Times New Roman" w:hAnsi="Times New Roman" w:eastAsia="仿宋_GB2312" w:cs="Times New Roman"/>
          <w:color w:val="000000"/>
          <w:spacing w:val="0"/>
          <w:kern w:val="0"/>
          <w:sz w:val="28"/>
          <w:szCs w:val="28"/>
          <w:highlight w:val="none"/>
          <w:lang w:val="en-US" w:eastAsia="zh-CN" w:bidi="ar-SA"/>
        </w:rPr>
        <w:t>保障</w:t>
      </w:r>
      <w:r>
        <w:rPr>
          <w:rFonts w:hint="eastAsia" w:cs="Times New Roman"/>
          <w:color w:val="000000"/>
          <w:spacing w:val="0"/>
          <w:kern w:val="0"/>
          <w:sz w:val="28"/>
          <w:szCs w:val="28"/>
          <w:highlight w:val="none"/>
          <w:lang w:val="en-US" w:eastAsia="zh-CN" w:bidi="ar-SA"/>
        </w:rPr>
        <w:t>了</w:t>
      </w:r>
      <w:r>
        <w:rPr>
          <w:rFonts w:hint="eastAsia" w:ascii="Times New Roman" w:hAnsi="Times New Roman" w:eastAsia="仿宋_GB2312" w:cs="Times New Roman"/>
          <w:color w:val="000000"/>
          <w:spacing w:val="0"/>
          <w:kern w:val="0"/>
          <w:sz w:val="28"/>
          <w:szCs w:val="28"/>
          <w:highlight w:val="none"/>
          <w:lang w:val="en-US" w:eastAsia="zh-CN" w:bidi="ar-SA"/>
        </w:rPr>
        <w:t>各社区生产安全、公共卫生安全，推动社区高质量发展</w:t>
      </w:r>
      <w:r>
        <w:rPr>
          <w:rFonts w:hint="eastAsia" w:cs="Times New Roman"/>
          <w:color w:val="000000"/>
          <w:spacing w:val="0"/>
          <w:kern w:val="0"/>
          <w:sz w:val="28"/>
          <w:szCs w:val="28"/>
          <w:highlight w:val="none"/>
          <w:lang w:val="en-US" w:eastAsia="zh-CN" w:bidi="ar-SA"/>
        </w:rPr>
        <w:t>，</w:t>
      </w:r>
      <w:r>
        <w:rPr>
          <w:rFonts w:hint="eastAsia" w:ascii="Times New Roman" w:hAnsi="Times New Roman" w:eastAsia="仿宋_GB2312" w:cs="Times New Roman"/>
          <w:color w:val="000000"/>
          <w:spacing w:val="0"/>
          <w:kern w:val="0"/>
          <w:sz w:val="28"/>
          <w:szCs w:val="28"/>
          <w:highlight w:val="none"/>
          <w:lang w:val="en-US" w:eastAsia="zh-CN"/>
        </w:rPr>
        <w:t>人居环境明显改善,丰富</w:t>
      </w:r>
      <w:r>
        <w:rPr>
          <w:rFonts w:hint="eastAsia" w:cs="Times New Roman"/>
          <w:color w:val="000000"/>
          <w:spacing w:val="0"/>
          <w:kern w:val="0"/>
          <w:sz w:val="28"/>
          <w:szCs w:val="28"/>
          <w:highlight w:val="none"/>
          <w:lang w:val="en-US" w:eastAsia="zh-CN"/>
        </w:rPr>
        <w:t>了</w:t>
      </w:r>
      <w:r>
        <w:rPr>
          <w:rFonts w:hint="eastAsia" w:ascii="Times New Roman" w:hAnsi="Times New Roman" w:eastAsia="仿宋_GB2312" w:cs="Times New Roman"/>
          <w:color w:val="000000"/>
          <w:spacing w:val="0"/>
          <w:kern w:val="0"/>
          <w:sz w:val="28"/>
          <w:szCs w:val="28"/>
          <w:highlight w:val="none"/>
          <w:lang w:val="en-US" w:eastAsia="zh-CN"/>
        </w:rPr>
        <w:t>群众精神文明活动，提高了群众的安全感</w:t>
      </w:r>
      <w:r>
        <w:rPr>
          <w:rFonts w:hint="eastAsia" w:cs="Times New Roman"/>
          <w:color w:val="000000"/>
          <w:spacing w:val="0"/>
          <w:kern w:val="0"/>
          <w:sz w:val="28"/>
          <w:szCs w:val="28"/>
          <w:highlight w:val="none"/>
          <w:lang w:val="en-US" w:eastAsia="zh-CN"/>
        </w:rPr>
        <w:t>和</w:t>
      </w:r>
      <w:r>
        <w:rPr>
          <w:rFonts w:hint="eastAsia" w:ascii="Times New Roman" w:hAnsi="Times New Roman" w:eastAsia="仿宋_GB2312" w:cs="Times New Roman"/>
          <w:color w:val="000000"/>
          <w:spacing w:val="0"/>
          <w:kern w:val="0"/>
          <w:sz w:val="28"/>
          <w:szCs w:val="28"/>
          <w:highlight w:val="none"/>
          <w:lang w:val="en-US" w:eastAsia="zh-CN"/>
        </w:rPr>
        <w:t xml:space="preserve">满意度。 </w:t>
      </w:r>
    </w:p>
    <w:p w14:paraId="2CBB297A">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5DE7D5EF">
      <w:pPr>
        <w:ind w:firstLine="562"/>
        <w:rPr>
          <w:rFonts w:ascii="仿宋" w:hAnsi="仿宋" w:eastAsia="仿宋"/>
          <w:b/>
          <w:highlight w:val="none"/>
        </w:rPr>
      </w:pPr>
      <w:r>
        <w:rPr>
          <w:rFonts w:hint="eastAsia" w:ascii="仿宋" w:hAnsi="仿宋" w:eastAsia="仿宋"/>
          <w:b/>
          <w:highlight w:val="none"/>
        </w:rPr>
        <w:t>（1）项目资金安排落实、总投入等情况分析</w:t>
      </w:r>
    </w:p>
    <w:p w14:paraId="2B1D95F8">
      <w:pPr>
        <w:ind w:firstLine="560"/>
        <w:rPr>
          <w:rFonts w:hint="eastAsia"/>
          <w:color w:val="auto"/>
          <w:highlight w:val="none"/>
        </w:rPr>
      </w:pPr>
      <w:r>
        <w:rPr>
          <w:rFonts w:hint="eastAsia" w:ascii="Times New Roman" w:hAnsi="Times New Roman" w:eastAsia="仿宋_GB2312" w:cs="Times New Roman"/>
          <w:color w:val="000000"/>
          <w:spacing w:val="0"/>
          <w:kern w:val="0"/>
          <w:sz w:val="28"/>
          <w:szCs w:val="28"/>
          <w:highlight w:val="none"/>
          <w:lang w:val="en-US" w:eastAsia="zh-CN"/>
        </w:rPr>
        <w:t>本项目预算安排总额为341万元，其中财政资金341万元，其他资金341万元，2023年实际收到预算资金</w:t>
      </w:r>
      <w:r>
        <w:rPr>
          <w:rFonts w:hint="eastAsia" w:cs="Times New Roman"/>
          <w:color w:val="000000"/>
          <w:spacing w:val="0"/>
          <w:kern w:val="0"/>
          <w:sz w:val="28"/>
          <w:szCs w:val="28"/>
          <w:highlight w:val="none"/>
          <w:lang w:val="en-US" w:eastAsia="zh-CN"/>
        </w:rPr>
        <w:t>341</w:t>
      </w:r>
      <w:r>
        <w:rPr>
          <w:rFonts w:hint="eastAsia" w:ascii="Times New Roman" w:hAnsi="Times New Roman" w:eastAsia="仿宋_GB2312" w:cs="Times New Roman"/>
          <w:color w:val="000000"/>
          <w:spacing w:val="0"/>
          <w:kern w:val="0"/>
          <w:sz w:val="28"/>
          <w:szCs w:val="28"/>
          <w:highlight w:val="none"/>
          <w:lang w:val="en-US" w:eastAsia="zh-CN"/>
        </w:rPr>
        <w:t>万元，预算资金到位率为</w:t>
      </w:r>
      <w:r>
        <w:rPr>
          <w:rFonts w:hint="eastAsia" w:cs="Times New Roman"/>
          <w:color w:val="000000"/>
          <w:spacing w:val="0"/>
          <w:kern w:val="0"/>
          <w:sz w:val="28"/>
          <w:szCs w:val="28"/>
          <w:highlight w:val="none"/>
          <w:lang w:val="en-US" w:eastAsia="zh-CN"/>
        </w:rPr>
        <w:t>100</w:t>
      </w:r>
      <w:r>
        <w:rPr>
          <w:rFonts w:hint="eastAsia" w:ascii="Times New Roman" w:hAnsi="Times New Roman" w:eastAsia="仿宋_GB2312" w:cs="Times New Roman"/>
          <w:color w:val="000000"/>
          <w:spacing w:val="0"/>
          <w:kern w:val="0"/>
          <w:sz w:val="28"/>
          <w:szCs w:val="28"/>
          <w:highlight w:val="none"/>
          <w:lang w:val="en-US" w:eastAsia="zh-CN"/>
        </w:rPr>
        <w:t>%。</w:t>
      </w:r>
    </w:p>
    <w:p w14:paraId="044C0028">
      <w:pPr>
        <w:ind w:firstLine="562"/>
        <w:rPr>
          <w:rFonts w:hint="eastAsia" w:ascii="仿宋" w:hAnsi="仿宋" w:eastAsia="仿宋"/>
          <w:b/>
          <w:bCs/>
          <w:spacing w:val="-4"/>
          <w:highlight w:val="none"/>
        </w:rPr>
      </w:pPr>
      <w:r>
        <w:rPr>
          <w:rFonts w:hint="eastAsia" w:ascii="仿宋" w:hAnsi="仿宋" w:eastAsia="仿宋"/>
          <w:b/>
          <w:highlight w:val="none"/>
        </w:rPr>
        <w:t>（2）</w:t>
      </w:r>
      <w:r>
        <w:rPr>
          <w:rFonts w:hint="eastAsia" w:ascii="仿宋" w:hAnsi="仿宋" w:eastAsia="仿宋"/>
          <w:b/>
          <w:bCs/>
          <w:spacing w:val="-4"/>
          <w:highlight w:val="none"/>
        </w:rPr>
        <w:t>项目资金实际使用情况分析</w:t>
      </w:r>
    </w:p>
    <w:p w14:paraId="4FBDAD30">
      <w:pPr>
        <w:ind w:firstLine="560"/>
        <w:rPr>
          <w:rFonts w:hint="eastAsia"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截止到2023年12月31日，本项目实际支付资金321.65万元，预算执行率94.33%，结转资金0万元，结余资金</w:t>
      </w:r>
      <w:r>
        <w:rPr>
          <w:rFonts w:hint="eastAsia" w:cs="Times New Roman"/>
          <w:color w:val="000000"/>
          <w:spacing w:val="0"/>
          <w:kern w:val="0"/>
          <w:sz w:val="28"/>
          <w:szCs w:val="28"/>
          <w:highlight w:val="none"/>
          <w:lang w:val="en-US" w:eastAsia="zh-CN"/>
        </w:rPr>
        <w:t>19.35</w:t>
      </w:r>
      <w:r>
        <w:rPr>
          <w:rFonts w:hint="eastAsia" w:ascii="Times New Roman" w:hAnsi="Times New Roman" w:eastAsia="仿宋_GB2312" w:cs="Times New Roman"/>
          <w:color w:val="000000"/>
          <w:spacing w:val="0"/>
          <w:kern w:val="0"/>
          <w:sz w:val="28"/>
          <w:szCs w:val="28"/>
          <w:highlight w:val="none"/>
          <w:lang w:val="en-US" w:eastAsia="zh-CN"/>
        </w:rPr>
        <w:t>万元。项目资金主要用于支付缴纳电费14万元、电话费4万元，购买办公用品30</w:t>
      </w:r>
      <w:r>
        <w:rPr>
          <w:rFonts w:hint="eastAsia" w:cs="Times New Roman"/>
          <w:color w:val="000000"/>
          <w:spacing w:val="0"/>
          <w:kern w:val="0"/>
          <w:sz w:val="28"/>
          <w:szCs w:val="28"/>
          <w:highlight w:val="none"/>
          <w:lang w:val="en-US" w:eastAsia="zh-CN"/>
        </w:rPr>
        <w:t>.06</w:t>
      </w:r>
      <w:r>
        <w:rPr>
          <w:rFonts w:hint="eastAsia" w:ascii="Times New Roman" w:hAnsi="Times New Roman" w:eastAsia="仿宋_GB2312" w:cs="Times New Roman"/>
          <w:color w:val="000000"/>
          <w:spacing w:val="0"/>
          <w:kern w:val="0"/>
          <w:sz w:val="28"/>
          <w:szCs w:val="28"/>
          <w:highlight w:val="none"/>
          <w:lang w:val="en-US" w:eastAsia="zh-CN"/>
        </w:rPr>
        <w:t>万元，基建维修维护费(含维修维护费)217</w:t>
      </w:r>
      <w:r>
        <w:rPr>
          <w:rFonts w:hint="eastAsia" w:cs="Times New Roman"/>
          <w:color w:val="000000"/>
          <w:spacing w:val="0"/>
          <w:kern w:val="0"/>
          <w:sz w:val="28"/>
          <w:szCs w:val="28"/>
          <w:highlight w:val="none"/>
          <w:lang w:val="en-US" w:eastAsia="zh-CN"/>
        </w:rPr>
        <w:t>.17</w:t>
      </w:r>
      <w:r>
        <w:rPr>
          <w:rFonts w:hint="eastAsia" w:ascii="Times New Roman" w:hAnsi="Times New Roman" w:eastAsia="仿宋_GB2312" w:cs="Times New Roman"/>
          <w:color w:val="000000"/>
          <w:spacing w:val="0"/>
          <w:kern w:val="0"/>
          <w:sz w:val="28"/>
          <w:szCs w:val="28"/>
          <w:highlight w:val="none"/>
          <w:lang w:val="en-US" w:eastAsia="zh-CN"/>
        </w:rPr>
        <w:t>万元，其他活动经费购买商品和服务支出56</w:t>
      </w:r>
      <w:r>
        <w:rPr>
          <w:rFonts w:hint="eastAsia" w:cs="Times New Roman"/>
          <w:color w:val="000000"/>
          <w:spacing w:val="0"/>
          <w:kern w:val="0"/>
          <w:sz w:val="28"/>
          <w:szCs w:val="28"/>
          <w:highlight w:val="none"/>
          <w:lang w:val="en-US" w:eastAsia="zh-CN"/>
        </w:rPr>
        <w:t>.42</w:t>
      </w:r>
      <w:r>
        <w:rPr>
          <w:rFonts w:hint="eastAsia" w:ascii="Times New Roman" w:hAnsi="Times New Roman" w:eastAsia="仿宋_GB2312" w:cs="Times New Roman"/>
          <w:color w:val="000000"/>
          <w:spacing w:val="0"/>
          <w:kern w:val="0"/>
          <w:sz w:val="28"/>
          <w:szCs w:val="28"/>
          <w:highlight w:val="none"/>
          <w:lang w:val="en-US" w:eastAsia="zh-CN"/>
        </w:rPr>
        <w:t>万元。</w:t>
      </w:r>
    </w:p>
    <w:p w14:paraId="5C831692">
      <w:pPr>
        <w:ind w:firstLine="562"/>
        <w:rPr>
          <w:rFonts w:hint="eastAsia" w:ascii="仿宋_GB2312" w:hAnsi="仿宋_GB2312" w:eastAsia="仿宋_GB2312" w:cs="Times New Roman"/>
          <w:b/>
          <w:bCs/>
          <w:kern w:val="0"/>
          <w:sz w:val="28"/>
          <w:szCs w:val="32"/>
          <w:highlight w:val="none"/>
          <w:lang w:val="en-US" w:eastAsia="zh-CN" w:bidi="ar-SA"/>
        </w:rPr>
      </w:pPr>
      <w:r>
        <w:rPr>
          <w:rFonts w:hint="eastAsia" w:ascii="仿宋_GB2312" w:hAnsi="仿宋_GB2312" w:eastAsia="仿宋_GB2312" w:cs="Times New Roman"/>
          <w:b/>
          <w:bCs/>
          <w:kern w:val="0"/>
          <w:sz w:val="28"/>
          <w:szCs w:val="32"/>
          <w:highlight w:val="none"/>
          <w:lang w:val="en-US" w:eastAsia="zh-CN" w:bidi="ar-SA"/>
        </w:rPr>
        <w:t>（二）项目绩效目标</w:t>
      </w:r>
    </w:p>
    <w:p w14:paraId="5AEE3271">
      <w:pPr>
        <w:pStyle w:val="6"/>
        <w:bidi w:val="0"/>
        <w:rPr>
          <w:highlight w:val="none"/>
        </w:rPr>
      </w:pPr>
      <w:r>
        <w:rPr>
          <w:rFonts w:hint="eastAsia"/>
          <w:highlight w:val="none"/>
        </w:rPr>
        <w:t>1.总体目标</w:t>
      </w:r>
    </w:p>
    <w:p w14:paraId="6E815AF7">
      <w:pPr>
        <w:ind w:firstLine="560"/>
        <w:rPr>
          <w:rFonts w:hint="default" w:ascii="Times New Roman" w:hAnsi="Times New Roman" w:eastAsia="仿宋_GB2312" w:cs="Times New Roman"/>
          <w:color w:val="000000"/>
          <w:spacing w:val="0"/>
          <w:kern w:val="0"/>
          <w:sz w:val="28"/>
          <w:szCs w:val="28"/>
          <w:highlight w:val="none"/>
          <w:lang w:val="en-US" w:eastAsia="zh-CN"/>
        </w:rPr>
      </w:pPr>
      <w:r>
        <w:rPr>
          <w:rFonts w:hint="eastAsia" w:ascii="Times New Roman" w:hAnsi="Times New Roman" w:eastAsia="仿宋_GB2312" w:cs="Times New Roman"/>
          <w:color w:val="000000"/>
          <w:spacing w:val="0"/>
          <w:kern w:val="0"/>
          <w:sz w:val="28"/>
          <w:szCs w:val="28"/>
          <w:highlight w:val="none"/>
          <w:lang w:val="en-US" w:eastAsia="zh-CN"/>
        </w:rPr>
        <w:t>本项目绩效总体目标为：建立健全“资金稳定，管理规范，责任明晰”的经费制度，提高村（社区）工作效率，保证财务执行数据准确度和透明度。 目标2：为进一步加强基层基础，促进乡镇各项经费运转依法有效履行职能，改善各社区硬件基础设施，加强凝聚力，提高提高人民群众安全感、幸福感和获得感。</w:t>
      </w:r>
    </w:p>
    <w:p w14:paraId="7DB286D0">
      <w:pPr>
        <w:pStyle w:val="6"/>
        <w:ind w:firstLine="562"/>
        <w:rPr>
          <w:highlight w:val="none"/>
        </w:rPr>
      </w:pPr>
      <w:r>
        <w:rPr>
          <w:rFonts w:hint="eastAsia"/>
          <w:highlight w:val="none"/>
        </w:rPr>
        <w:t>2.阶段性目标</w:t>
      </w:r>
    </w:p>
    <w:p w14:paraId="4A326E8D">
      <w:pPr>
        <w:ind w:firstLine="560"/>
        <w:rPr>
          <w:rFonts w:hint="eastAsia" w:hAnsi="Arial" w:cs="宋体"/>
          <w:bCs/>
          <w:color w:val="000000"/>
          <w:highlight w:val="none"/>
        </w:rPr>
      </w:pPr>
      <w:r>
        <w:rPr>
          <w:rFonts w:hint="eastAsia" w:hAnsi="Arial" w:cs="宋体"/>
          <w:bCs/>
          <w:color w:val="000000"/>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highlight w:val="none"/>
        </w:rPr>
        <w:t>《自治区财政支出绩效评价管理暂行办法》</w:t>
      </w:r>
      <w:r>
        <w:rPr>
          <w:rFonts w:hint="eastAsia"/>
          <w:highlight w:val="none"/>
        </w:rPr>
        <w:t>（新财预〔2018〕189号）等文件要求和</w:t>
      </w:r>
      <w:r>
        <w:rPr>
          <w:rFonts w:hint="eastAsia" w:hAnsi="Arial" w:cs="宋体"/>
          <w:bCs/>
          <w:color w:val="000000"/>
          <w:highlight w:val="none"/>
        </w:rPr>
        <w:t>规定，结合项目实施单位的规章制度以及财务相关资料，评价小组对项目绩效目标进行了进一步的完善，完善后绩效目标如下：</w:t>
      </w:r>
    </w:p>
    <w:p w14:paraId="61927308">
      <w:pPr>
        <w:ind w:firstLine="562"/>
        <w:rPr>
          <w:rFonts w:hAnsi="Arial" w:cs="宋体"/>
          <w:b/>
          <w:bCs/>
          <w:color w:val="000000"/>
          <w:highlight w:val="none"/>
        </w:rPr>
      </w:pPr>
      <w:r>
        <w:rPr>
          <w:rFonts w:hint="eastAsia" w:hAnsi="Arial" w:cs="宋体"/>
          <w:b/>
          <w:bCs/>
          <w:color w:val="000000"/>
          <w:highlight w:val="none"/>
        </w:rPr>
        <w:t>（1）</w:t>
      </w:r>
      <w:r>
        <w:rPr>
          <w:rFonts w:hint="eastAsia"/>
          <w:b/>
          <w:highlight w:val="none"/>
        </w:rPr>
        <w:t>项目产出目标</w:t>
      </w:r>
    </w:p>
    <w:p w14:paraId="2CB43724">
      <w:pPr>
        <w:ind w:firstLine="560"/>
        <w:rPr>
          <w:color w:val="auto"/>
          <w:highlight w:val="none"/>
        </w:rPr>
      </w:pPr>
      <w:r>
        <w:rPr>
          <w:rFonts w:hint="eastAsia"/>
          <w:color w:val="auto"/>
          <w:highlight w:val="none"/>
        </w:rPr>
        <w:t>①数量指标</w:t>
      </w:r>
    </w:p>
    <w:p w14:paraId="0C852D86">
      <w:pPr>
        <w:ind w:firstLine="560"/>
        <w:rPr>
          <w:color w:val="auto"/>
          <w:highlight w:val="none"/>
        </w:rPr>
      </w:pPr>
      <w:r>
        <w:rPr>
          <w:rFonts w:hint="eastAsia"/>
          <w:color w:val="auto"/>
          <w:highlight w:val="none"/>
        </w:rPr>
        <w:t>“保障社区正常运转数”指标，预期指标值</w:t>
      </w:r>
      <w:r>
        <w:rPr>
          <w:rFonts w:hint="eastAsia"/>
          <w:color w:val="auto"/>
          <w:highlight w:val="none"/>
          <w:lang w:eastAsia="zh-CN"/>
        </w:rPr>
        <w:t>为</w:t>
      </w:r>
      <w:r>
        <w:rPr>
          <w:rFonts w:hint="eastAsia"/>
          <w:color w:val="auto"/>
          <w:highlight w:val="none"/>
        </w:rPr>
        <w:t>10个；</w:t>
      </w:r>
    </w:p>
    <w:p w14:paraId="203A9FE4">
      <w:pPr>
        <w:ind w:firstLine="560"/>
        <w:rPr>
          <w:color w:val="auto"/>
          <w:highlight w:val="none"/>
        </w:rPr>
      </w:pPr>
      <w:r>
        <w:rPr>
          <w:rFonts w:hint="eastAsia"/>
          <w:color w:val="auto"/>
          <w:highlight w:val="none"/>
        </w:rPr>
        <w:t>“便民服务巡逻车（安全保障）”指标，预期指标值</w:t>
      </w:r>
      <w:r>
        <w:rPr>
          <w:rFonts w:hint="eastAsia"/>
          <w:color w:val="auto"/>
          <w:highlight w:val="none"/>
          <w:lang w:eastAsia="zh-CN"/>
        </w:rPr>
        <w:t>为</w:t>
      </w:r>
      <w:r>
        <w:rPr>
          <w:rFonts w:hint="eastAsia"/>
          <w:color w:val="auto"/>
          <w:highlight w:val="none"/>
        </w:rPr>
        <w:t>10辆。</w:t>
      </w:r>
    </w:p>
    <w:p w14:paraId="2638A5C4">
      <w:pPr>
        <w:ind w:firstLine="560"/>
        <w:rPr>
          <w:color w:val="auto"/>
          <w:highlight w:val="none"/>
        </w:rPr>
      </w:pPr>
      <w:r>
        <w:rPr>
          <w:rFonts w:hint="eastAsia"/>
          <w:color w:val="auto"/>
          <w:highlight w:val="none"/>
        </w:rPr>
        <w:t>②质量指标</w:t>
      </w:r>
    </w:p>
    <w:p w14:paraId="3E845601">
      <w:pPr>
        <w:ind w:firstLine="560"/>
        <w:rPr>
          <w:color w:val="auto"/>
          <w:highlight w:val="none"/>
        </w:rPr>
      </w:pPr>
      <w:r>
        <w:rPr>
          <w:rFonts w:hint="eastAsia"/>
          <w:color w:val="auto"/>
          <w:highlight w:val="none"/>
        </w:rPr>
        <w:t>“资金</w:t>
      </w:r>
      <w:r>
        <w:rPr>
          <w:rFonts w:hint="eastAsia"/>
          <w:color w:val="auto"/>
          <w:highlight w:val="none"/>
          <w:lang w:eastAsia="zh-CN"/>
        </w:rPr>
        <w:t>管理</w:t>
      </w:r>
      <w:r>
        <w:rPr>
          <w:rFonts w:hint="eastAsia"/>
          <w:color w:val="auto"/>
          <w:highlight w:val="none"/>
        </w:rPr>
        <w:t>规范使用率”指标，预期指标值</w:t>
      </w:r>
      <w:r>
        <w:rPr>
          <w:rFonts w:hint="eastAsia"/>
          <w:color w:val="auto"/>
          <w:highlight w:val="none"/>
          <w:lang w:eastAsia="zh-CN"/>
        </w:rPr>
        <w:t>为</w:t>
      </w:r>
      <w:r>
        <w:rPr>
          <w:rFonts w:hint="eastAsia"/>
          <w:color w:val="auto"/>
          <w:highlight w:val="none"/>
        </w:rPr>
        <w:t>100.0%；</w:t>
      </w:r>
    </w:p>
    <w:p w14:paraId="76C99DDD">
      <w:pPr>
        <w:ind w:firstLine="560"/>
        <w:rPr>
          <w:rFonts w:hint="eastAsia"/>
          <w:color w:val="auto"/>
          <w:highlight w:val="none"/>
          <w:lang w:eastAsia="zh-CN"/>
        </w:rPr>
      </w:pPr>
      <w:r>
        <w:rPr>
          <w:rFonts w:hint="eastAsia"/>
          <w:color w:val="auto"/>
          <w:highlight w:val="none"/>
        </w:rPr>
        <w:t>“采购</w:t>
      </w:r>
      <w:r>
        <w:rPr>
          <w:rFonts w:hint="eastAsia"/>
          <w:color w:val="auto"/>
          <w:highlight w:val="none"/>
          <w:lang w:eastAsia="zh-CN"/>
        </w:rPr>
        <w:t>设备</w:t>
      </w:r>
      <w:r>
        <w:rPr>
          <w:rFonts w:hint="eastAsia"/>
          <w:color w:val="auto"/>
          <w:highlight w:val="none"/>
        </w:rPr>
        <w:t>质量合格率”指标，预期指标值</w:t>
      </w:r>
      <w:r>
        <w:rPr>
          <w:rFonts w:hint="eastAsia"/>
          <w:color w:val="auto"/>
          <w:highlight w:val="none"/>
          <w:lang w:eastAsia="zh-CN"/>
        </w:rPr>
        <w:t>为</w:t>
      </w:r>
      <w:r>
        <w:rPr>
          <w:rFonts w:hint="eastAsia"/>
          <w:color w:val="auto"/>
          <w:highlight w:val="none"/>
        </w:rPr>
        <w:t>100.0%</w:t>
      </w:r>
      <w:r>
        <w:rPr>
          <w:rFonts w:hint="eastAsia"/>
          <w:color w:val="auto"/>
          <w:highlight w:val="none"/>
          <w:lang w:eastAsia="zh-CN"/>
        </w:rPr>
        <w:t>；</w:t>
      </w:r>
    </w:p>
    <w:p w14:paraId="7A0071A1">
      <w:pPr>
        <w:ind w:firstLine="560"/>
        <w:rPr>
          <w:rFonts w:hint="eastAsia"/>
          <w:color w:val="auto"/>
          <w:highlight w:val="none"/>
          <w:lang w:eastAsia="zh-CN"/>
        </w:rPr>
      </w:pPr>
      <w:r>
        <w:rPr>
          <w:rFonts w:hint="eastAsia"/>
          <w:color w:val="auto"/>
          <w:highlight w:val="none"/>
          <w:lang w:eastAsia="zh-CN"/>
        </w:rPr>
        <w:t>“</w:t>
      </w:r>
      <w:r>
        <w:rPr>
          <w:rFonts w:hint="eastAsia"/>
          <w:color w:val="auto"/>
          <w:highlight w:val="none"/>
        </w:rPr>
        <w:t>政府采购率</w:t>
      </w:r>
      <w:r>
        <w:rPr>
          <w:rFonts w:hint="eastAsia"/>
          <w:color w:val="auto"/>
          <w:highlight w:val="none"/>
          <w:lang w:eastAsia="zh-CN"/>
        </w:rPr>
        <w:t>”指标</w:t>
      </w:r>
      <w:r>
        <w:rPr>
          <w:rFonts w:hint="eastAsia"/>
          <w:color w:val="auto"/>
          <w:highlight w:val="none"/>
        </w:rPr>
        <w:t>，预期指标值</w:t>
      </w:r>
      <w:r>
        <w:rPr>
          <w:rFonts w:hint="eastAsia"/>
          <w:color w:val="auto"/>
          <w:highlight w:val="none"/>
          <w:lang w:eastAsia="zh-CN"/>
        </w:rPr>
        <w:t>为</w:t>
      </w:r>
      <w:r>
        <w:rPr>
          <w:rFonts w:hint="eastAsia"/>
          <w:color w:val="auto"/>
          <w:highlight w:val="none"/>
        </w:rPr>
        <w:t>100.0%</w:t>
      </w:r>
    </w:p>
    <w:p w14:paraId="56553F1B">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7080A301">
      <w:pPr>
        <w:ind w:firstLine="560"/>
        <w:rPr>
          <w:rFonts w:hint="eastAsia"/>
          <w:color w:val="auto"/>
          <w:highlight w:val="none"/>
        </w:rPr>
      </w:pPr>
      <w:r>
        <w:rPr>
          <w:rFonts w:hint="eastAsia"/>
          <w:color w:val="auto"/>
          <w:highlight w:val="none"/>
        </w:rPr>
        <w:t>“资金及时</w:t>
      </w:r>
      <w:r>
        <w:rPr>
          <w:rFonts w:hint="eastAsia"/>
          <w:color w:val="auto"/>
          <w:highlight w:val="none"/>
          <w:lang w:eastAsia="zh-CN"/>
        </w:rPr>
        <w:t>拨付</w:t>
      </w:r>
      <w:r>
        <w:rPr>
          <w:rFonts w:hint="eastAsia"/>
          <w:color w:val="auto"/>
          <w:highlight w:val="none"/>
        </w:rPr>
        <w:t>率”指标，预期指标值为</w:t>
      </w:r>
      <w:r>
        <w:rPr>
          <w:rFonts w:hint="eastAsia"/>
          <w:color w:val="auto"/>
          <w:highlight w:val="none"/>
          <w:lang w:eastAsia="zh-CN"/>
        </w:rPr>
        <w:t>大于等于</w:t>
      </w:r>
      <w:r>
        <w:rPr>
          <w:rFonts w:hint="eastAsia"/>
          <w:color w:val="auto"/>
          <w:highlight w:val="none"/>
        </w:rPr>
        <w:t>95%；</w:t>
      </w:r>
    </w:p>
    <w:p w14:paraId="4A381F55">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“项目及时完成率”指标，预期指标值</w:t>
      </w:r>
      <w:r>
        <w:rPr>
          <w:rFonts w:hint="eastAsia" w:ascii="Times New Roman" w:cs="Times New Roman"/>
          <w:color w:val="auto"/>
          <w:kern w:val="2"/>
          <w:sz w:val="28"/>
          <w:szCs w:val="24"/>
          <w:highlight w:val="none"/>
          <w:lang w:val="en-US" w:eastAsia="zh-CN" w:bidi="ar-SA"/>
        </w:rPr>
        <w:t>为</w:t>
      </w:r>
      <w:r>
        <w:rPr>
          <w:rFonts w:hint="eastAsia" w:ascii="Times New Roman" w:hAnsi="Times New Roman" w:eastAsia="仿宋_GB2312" w:cs="Times New Roman"/>
          <w:color w:val="auto"/>
          <w:kern w:val="2"/>
          <w:sz w:val="28"/>
          <w:szCs w:val="24"/>
          <w:highlight w:val="none"/>
          <w:lang w:val="en-US" w:eastAsia="zh-CN" w:bidi="ar-SA"/>
        </w:rPr>
        <w:t>100.0%。</w:t>
      </w:r>
    </w:p>
    <w:p w14:paraId="5506E14D">
      <w:pPr>
        <w:ind w:firstLine="560"/>
        <w:rPr>
          <w:color w:val="auto"/>
          <w:highlight w:val="none"/>
        </w:rPr>
      </w:pPr>
      <w:r>
        <w:rPr>
          <w:rFonts w:hint="eastAsia"/>
          <w:color w:val="auto"/>
          <w:highlight w:val="none"/>
        </w:rPr>
        <w:t>④成本指标</w:t>
      </w:r>
    </w:p>
    <w:p w14:paraId="3B8601DD">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“用电费”指标，预期指标值为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100万元；</w:t>
      </w:r>
    </w:p>
    <w:p w14:paraId="0AB7DDDB">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“通讯费及网费”指标，预期指标值为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15万元；</w:t>
      </w:r>
    </w:p>
    <w:p w14:paraId="64269C5F">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“水费”指标，预期指标值为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12万元；</w:t>
      </w:r>
    </w:p>
    <w:p w14:paraId="139363BB">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“年平均巡逻车燃料费/辆”指标，预期指标值为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1.20万元；</w:t>
      </w:r>
    </w:p>
    <w:p w14:paraId="34307070">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“办公用品经费”指标，预期指标值为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50万元；</w:t>
      </w:r>
    </w:p>
    <w:p w14:paraId="2954B0B4">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“转运车租赁费”指标，预期指标值为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3万元；</w:t>
      </w:r>
    </w:p>
    <w:p w14:paraId="630F7251">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“雇工劳务费”指标，预期指标值为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10万元；</w:t>
      </w:r>
    </w:p>
    <w:p w14:paraId="43FD9C16">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“差旅费”指标，预期指标值为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2万元；</w:t>
      </w:r>
    </w:p>
    <w:p w14:paraId="08E5BF58">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“基建维修维护费”指标，预期指标值为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70万元；</w:t>
      </w:r>
    </w:p>
    <w:p w14:paraId="7FC291C6">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“印刷费”指标，预期指标值为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35万元；</w:t>
      </w:r>
    </w:p>
    <w:p w14:paraId="2E6B757D">
      <w:pPr>
        <w:pStyle w:val="2"/>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“其他商品和服务支出”指标，预期指标值为</w:t>
      </w:r>
      <w:r>
        <w:rPr>
          <w:rFonts w:hint="eastAsia" w:ascii="Times New Roman" w:cs="Times New Roman"/>
          <w:color w:val="auto"/>
          <w:kern w:val="2"/>
          <w:sz w:val="28"/>
          <w:szCs w:val="24"/>
          <w:highlight w:val="none"/>
          <w:lang w:val="en-US" w:eastAsia="zh-CN" w:bidi="ar-SA"/>
        </w:rPr>
        <w:t>小于等于</w:t>
      </w:r>
      <w:r>
        <w:rPr>
          <w:rFonts w:hint="eastAsia" w:ascii="Times New Roman" w:hAnsi="Times New Roman" w:eastAsia="仿宋_GB2312" w:cs="Times New Roman"/>
          <w:color w:val="auto"/>
          <w:kern w:val="2"/>
          <w:sz w:val="28"/>
          <w:szCs w:val="24"/>
          <w:highlight w:val="none"/>
          <w:lang w:val="en-US" w:eastAsia="zh-CN" w:bidi="ar-SA"/>
        </w:rPr>
        <w:t>32万元。</w:t>
      </w:r>
    </w:p>
    <w:p w14:paraId="1A75B7A1">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706FA1C3">
      <w:pPr>
        <w:ind w:firstLine="560"/>
        <w:rPr>
          <w:color w:val="auto"/>
          <w:highlight w:val="none"/>
        </w:rPr>
      </w:pPr>
      <w:r>
        <w:rPr>
          <w:rFonts w:hint="eastAsia"/>
          <w:color w:val="auto"/>
          <w:highlight w:val="none"/>
        </w:rPr>
        <w:t>①经济效益指标</w:t>
      </w:r>
    </w:p>
    <w:p w14:paraId="3D5E44C4">
      <w:pPr>
        <w:ind w:firstLine="560"/>
        <w:rPr>
          <w:color w:val="auto"/>
          <w:highlight w:val="none"/>
        </w:rPr>
      </w:pPr>
      <w:r>
        <w:rPr>
          <w:rFonts w:hint="eastAsia"/>
          <w:color w:val="auto"/>
          <w:highlight w:val="none"/>
        </w:rPr>
        <w:t>“提高社区经济发展水平”指标，预期指标值为有效提高</w:t>
      </w:r>
    </w:p>
    <w:p w14:paraId="47317BA8">
      <w:pPr>
        <w:ind w:firstLine="560"/>
        <w:rPr>
          <w:color w:val="auto"/>
          <w:highlight w:val="none"/>
        </w:rPr>
      </w:pPr>
      <w:r>
        <w:rPr>
          <w:rFonts w:hint="eastAsia"/>
          <w:color w:val="auto"/>
          <w:highlight w:val="none"/>
        </w:rPr>
        <w:t>②社会效益指标</w:t>
      </w:r>
    </w:p>
    <w:p w14:paraId="6B95941A">
      <w:pPr>
        <w:ind w:firstLine="560"/>
        <w:rPr>
          <w:color w:val="auto"/>
          <w:highlight w:val="none"/>
        </w:rPr>
      </w:pPr>
      <w:r>
        <w:rPr>
          <w:rFonts w:hint="eastAsia"/>
          <w:color w:val="auto"/>
          <w:highlight w:val="none"/>
        </w:rPr>
        <w:t>“提高群众社会安全感”指标，预期指标值为显著提高</w:t>
      </w:r>
    </w:p>
    <w:p w14:paraId="4824A253">
      <w:pPr>
        <w:ind w:firstLine="562"/>
        <w:rPr>
          <w:rFonts w:ascii="仿宋" w:hAnsi="仿宋" w:eastAsia="仿宋"/>
          <w:b/>
          <w:highlight w:val="none"/>
        </w:rPr>
      </w:pPr>
      <w:r>
        <w:rPr>
          <w:rFonts w:hint="eastAsia" w:ascii="仿宋" w:hAnsi="仿宋" w:eastAsia="仿宋"/>
          <w:b/>
          <w:highlight w:val="none"/>
        </w:rPr>
        <w:t>（3）相关满意度目标</w:t>
      </w:r>
    </w:p>
    <w:p w14:paraId="68973385">
      <w:pPr>
        <w:ind w:firstLine="560"/>
        <w:rPr>
          <w:highlight w:val="none"/>
        </w:rPr>
      </w:pPr>
      <w:r>
        <w:rPr>
          <w:rFonts w:hint="eastAsia"/>
          <w:highlight w:val="none"/>
        </w:rPr>
        <w:t>①满意度指标</w:t>
      </w:r>
    </w:p>
    <w:p w14:paraId="744871EA">
      <w:pPr>
        <w:ind w:firstLine="560"/>
        <w:rPr>
          <w:color w:val="auto"/>
          <w:highlight w:val="none"/>
        </w:rPr>
      </w:pPr>
      <w:r>
        <w:rPr>
          <w:rFonts w:hint="eastAsia"/>
          <w:color w:val="auto"/>
          <w:highlight w:val="none"/>
        </w:rPr>
        <w:t>“群众满意度”指标，预期指标值为</w:t>
      </w:r>
      <w:r>
        <w:rPr>
          <w:rFonts w:hint="eastAsia"/>
          <w:color w:val="auto"/>
          <w:highlight w:val="none"/>
          <w:lang w:eastAsia="zh-CN"/>
        </w:rPr>
        <w:t>大于等于</w:t>
      </w:r>
      <w:r>
        <w:rPr>
          <w:rFonts w:hint="eastAsia"/>
          <w:color w:val="auto"/>
          <w:highlight w:val="none"/>
        </w:rPr>
        <w:t>90%；</w:t>
      </w:r>
    </w:p>
    <w:p w14:paraId="0E48E779">
      <w:pPr>
        <w:pStyle w:val="4"/>
        <w:ind w:firstLine="640"/>
        <w:rPr>
          <w:highlight w:val="none"/>
        </w:rPr>
      </w:pPr>
      <w:r>
        <w:rPr>
          <w:rFonts w:hint="eastAsia"/>
          <w:highlight w:val="none"/>
        </w:rPr>
        <w:t>二、绩效评价工作开展情况</w:t>
      </w:r>
    </w:p>
    <w:p w14:paraId="2E007339">
      <w:pPr>
        <w:pStyle w:val="5"/>
        <w:numPr>
          <w:ilvl w:val="0"/>
          <w:numId w:val="1"/>
        </w:numPr>
        <w:ind w:firstLine="643"/>
        <w:rPr>
          <w:rFonts w:ascii="楷体" w:hAnsi="楷体" w:cs="楷体"/>
          <w:szCs w:val="32"/>
          <w:highlight w:val="none"/>
        </w:rPr>
      </w:pPr>
      <w:bookmarkStart w:id="0" w:name="_Toc26632"/>
      <w:bookmarkStart w:id="1" w:name="_Toc21664"/>
      <w:bookmarkStart w:id="2" w:name="_Toc5462343"/>
      <w:bookmarkStart w:id="3" w:name="_Toc5258"/>
      <w:bookmarkStart w:id="4" w:name="_Toc12868"/>
      <w:bookmarkStart w:id="5" w:name="_Toc22169_WPSOffice_Level2"/>
      <w:bookmarkStart w:id="6" w:name="_Toc22922"/>
      <w:bookmarkStart w:id="7" w:name="_Toc480473081"/>
      <w:r>
        <w:rPr>
          <w:rFonts w:hint="eastAsia" w:ascii="楷体" w:hAnsi="楷体" w:cs="楷体"/>
          <w:szCs w:val="32"/>
          <w:highlight w:val="none"/>
        </w:rPr>
        <w:t>绩效评价的目的</w:t>
      </w:r>
      <w:bookmarkEnd w:id="0"/>
      <w:bookmarkEnd w:id="1"/>
      <w:bookmarkEnd w:id="2"/>
      <w:bookmarkEnd w:id="3"/>
      <w:bookmarkEnd w:id="4"/>
      <w:bookmarkEnd w:id="5"/>
      <w:bookmarkEnd w:id="6"/>
      <w:bookmarkEnd w:id="7"/>
      <w:r>
        <w:rPr>
          <w:rFonts w:hint="eastAsia" w:ascii="楷体" w:hAnsi="楷体" w:cs="楷体"/>
          <w:szCs w:val="32"/>
          <w:highlight w:val="none"/>
        </w:rPr>
        <w:t>、对象和范围</w:t>
      </w:r>
    </w:p>
    <w:p w14:paraId="0CD14FDA">
      <w:pPr>
        <w:pStyle w:val="6"/>
        <w:ind w:firstLine="562"/>
        <w:rPr>
          <w:highlight w:val="none"/>
        </w:rPr>
      </w:pPr>
      <w:r>
        <w:rPr>
          <w:rFonts w:hint="eastAsia"/>
          <w:highlight w:val="none"/>
        </w:rPr>
        <w:t>1.</w:t>
      </w:r>
      <w:r>
        <w:rPr>
          <w:rFonts w:hint="eastAsia" w:ascii="楷体" w:hAnsi="楷体" w:eastAsia="楷体" w:cs="楷体"/>
          <w:sz w:val="32"/>
          <w:highlight w:val="none"/>
        </w:rPr>
        <w:t>绩效评价的目的</w:t>
      </w:r>
    </w:p>
    <w:p w14:paraId="401C73D6">
      <w:pPr>
        <w:spacing w:line="600" w:lineRule="exact"/>
        <w:ind w:firstLine="560"/>
        <w:rPr>
          <w:rFonts w:hint="eastAsia"/>
          <w:highlight w:val="none"/>
          <w:lang w:val="en-US" w:eastAsia="zh-CN"/>
        </w:rPr>
      </w:pPr>
      <w:r>
        <w:rPr>
          <w:rFonts w:hint="eastAsia"/>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5DEB7360">
      <w:pPr>
        <w:spacing w:line="600" w:lineRule="exact"/>
        <w:ind w:firstLine="560"/>
        <w:rPr>
          <w:highlight w:val="none"/>
        </w:rPr>
      </w:pPr>
      <w:r>
        <w:rPr>
          <w:rFonts w:hint="eastAsia"/>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785CA6BA">
      <w:pPr>
        <w:pStyle w:val="6"/>
        <w:ind w:firstLine="562"/>
        <w:rPr>
          <w:highlight w:val="none"/>
        </w:rPr>
      </w:pPr>
      <w:r>
        <w:rPr>
          <w:rFonts w:hint="eastAsia"/>
          <w:highlight w:val="none"/>
        </w:rPr>
        <w:t>2.绩效评价的对象和范围</w:t>
      </w:r>
    </w:p>
    <w:p w14:paraId="2E5C3BFE">
      <w:pPr>
        <w:ind w:firstLine="560"/>
        <w:rPr>
          <w:rFonts w:hint="eastAsia"/>
          <w:highlight w:val="none"/>
        </w:rPr>
      </w:pPr>
      <w:r>
        <w:rPr>
          <w:rFonts w:hint="eastAsia"/>
          <w:highlight w:val="none"/>
          <w:lang w:val="en-US" w:eastAsia="zh-CN"/>
        </w:rPr>
        <w:t>评价对象：</w:t>
      </w:r>
      <w:r>
        <w:rPr>
          <w:rFonts w:hint="eastAsia"/>
          <w:highlight w:val="none"/>
        </w:rPr>
        <w:t>此次我单位根据《财政支出绩效评价管理暂行办法》（财预〔2020〕10号）文件要求对202</w:t>
      </w:r>
      <w:r>
        <w:rPr>
          <w:rFonts w:hint="eastAsia"/>
          <w:highlight w:val="none"/>
          <w:lang w:val="en-US" w:eastAsia="zh-CN"/>
        </w:rPr>
        <w:t>3</w:t>
      </w:r>
      <w:r>
        <w:rPr>
          <w:rFonts w:hint="eastAsia"/>
          <w:highlight w:val="none"/>
        </w:rPr>
        <w:t>年度我单位实施的托克逊镇乡镇基层运转综合业务项目经费项目开展部门绩效评价，</w:t>
      </w:r>
      <w:r>
        <w:rPr>
          <w:rFonts w:hint="eastAsia"/>
          <w:highlight w:val="none"/>
          <w:lang w:eastAsia="zh-CN"/>
        </w:rPr>
        <w:t>评价核心</w:t>
      </w:r>
      <w:r>
        <w:rPr>
          <w:rFonts w:hint="eastAsia"/>
          <w:highlight w:val="none"/>
          <w:lang w:val="en-US" w:eastAsia="zh-CN"/>
        </w:rPr>
        <w:t>内容</w:t>
      </w:r>
      <w:r>
        <w:rPr>
          <w:rFonts w:hint="eastAsia"/>
          <w:highlight w:val="none"/>
          <w:lang w:eastAsia="zh-CN"/>
        </w:rPr>
        <w:t>为项目资金</w:t>
      </w:r>
      <w:r>
        <w:rPr>
          <w:rFonts w:hint="eastAsia"/>
          <w:highlight w:val="none"/>
          <w:lang w:val="en-US" w:eastAsia="zh-CN"/>
        </w:rPr>
        <w:t>执行情况</w:t>
      </w:r>
      <w:r>
        <w:rPr>
          <w:rFonts w:hint="eastAsia"/>
          <w:highlight w:val="none"/>
          <w:lang w:eastAsia="zh-CN"/>
        </w:rPr>
        <w:t>、项目产出</w:t>
      </w:r>
      <w:r>
        <w:rPr>
          <w:rFonts w:hint="eastAsia"/>
          <w:highlight w:val="none"/>
          <w:lang w:val="en-US" w:eastAsia="zh-CN"/>
        </w:rPr>
        <w:t>情况</w:t>
      </w:r>
      <w:r>
        <w:rPr>
          <w:rFonts w:hint="eastAsia"/>
          <w:highlight w:val="none"/>
          <w:lang w:eastAsia="zh-CN"/>
        </w:rPr>
        <w:t>、项目效益</w:t>
      </w:r>
      <w:r>
        <w:rPr>
          <w:rFonts w:hint="eastAsia"/>
          <w:highlight w:val="none"/>
          <w:lang w:val="en-US" w:eastAsia="zh-CN"/>
        </w:rPr>
        <w:t>情况</w:t>
      </w:r>
      <w:r>
        <w:rPr>
          <w:rFonts w:hint="default"/>
          <w:highlight w:val="none"/>
          <w:lang w:val="en-US" w:eastAsia="zh-CN"/>
        </w:rPr>
        <w:t>。</w:t>
      </w:r>
    </w:p>
    <w:p w14:paraId="0BEEB31A">
      <w:pPr>
        <w:ind w:firstLine="560"/>
        <w:rPr>
          <w:highlight w:val="none"/>
        </w:rPr>
      </w:pPr>
      <w:r>
        <w:rPr>
          <w:rFonts w:hint="eastAsia"/>
          <w:b/>
          <w:bCs/>
          <w:highlight w:val="none"/>
          <w:lang w:val="en-US" w:eastAsia="zh-CN"/>
        </w:rPr>
        <w:t>评价范围：</w:t>
      </w:r>
      <w:r>
        <w:rPr>
          <w:rFonts w:hint="eastAsia"/>
          <w:highlight w:val="none"/>
        </w:rPr>
        <w:t>本次绩效评价主要围绕项目</w:t>
      </w:r>
      <w:r>
        <w:rPr>
          <w:highlight w:val="none"/>
        </w:rPr>
        <w:t>资金使用情况、财务管理状况和资产配置、使用、处置及其收益管理情况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；绩效目标的实现程度，包括是否达到预定产出和效果等</w:t>
      </w:r>
      <w:r>
        <w:rPr>
          <w:rFonts w:hint="eastAsia"/>
          <w:highlight w:val="none"/>
        </w:rPr>
        <w:t>方面进行部门绩效评价。</w:t>
      </w:r>
    </w:p>
    <w:p w14:paraId="0A90A7EC">
      <w:pPr>
        <w:pStyle w:val="5"/>
        <w:numPr>
          <w:ilvl w:val="0"/>
          <w:numId w:val="1"/>
        </w:numPr>
        <w:ind w:firstLine="643"/>
        <w:rPr>
          <w:highlight w:val="none"/>
        </w:rPr>
      </w:pPr>
      <w:r>
        <w:rPr>
          <w:rFonts w:hint="eastAsia"/>
          <w:highlight w:val="none"/>
        </w:rPr>
        <w:t>绩效评价原则、评价指标体系、评价方法评价标准</w:t>
      </w:r>
    </w:p>
    <w:p w14:paraId="7D4AB8F0">
      <w:pPr>
        <w:pStyle w:val="6"/>
        <w:ind w:firstLine="562"/>
        <w:rPr>
          <w:highlight w:val="none"/>
        </w:rPr>
      </w:pPr>
      <w:r>
        <w:rPr>
          <w:rFonts w:hint="eastAsia"/>
          <w:highlight w:val="none"/>
        </w:rPr>
        <w:t>1.绩效评价原则</w:t>
      </w:r>
    </w:p>
    <w:p w14:paraId="4808815B">
      <w:pPr>
        <w:spacing w:line="600" w:lineRule="exact"/>
        <w:ind w:firstLine="560"/>
        <w:rPr>
          <w:highlight w:val="none"/>
        </w:rPr>
      </w:pPr>
      <w:r>
        <w:rPr>
          <w:rFonts w:hint="eastAsia"/>
          <w:highlight w:val="none"/>
        </w:rPr>
        <w:t>依据《中华人民共和国预算法》、《中共中央国务院关于全面实施预算绩效管理的意见》（中发〔2018〕34号）、《项目支出绩效评价管理办法》（财预〔2020〕10号）</w:t>
      </w:r>
      <w:r>
        <w:rPr>
          <w:rFonts w:hint="eastAsia"/>
          <w:highlight w:val="none"/>
          <w:lang w:eastAsia="zh-CN"/>
        </w:rPr>
        <w:t>、</w:t>
      </w:r>
      <w:r>
        <w:rPr>
          <w:rFonts w:hint="eastAsia"/>
          <w:highlight w:val="none"/>
        </w:rPr>
        <w:t>《自治区党委自治区人民政府关于全面实施预算绩效管理的实施意见》（新党发〔2018〕30号）、《自治区财政支出绩效评价管理暂行办法》（新财预〔2018〕189号</w:t>
      </w:r>
      <w:r>
        <w:rPr>
          <w:rFonts w:hint="eastAsia"/>
          <w:highlight w:val="none"/>
          <w:lang w:eastAsia="zh-CN"/>
        </w:rPr>
        <w:t>）</w:t>
      </w:r>
      <w:r>
        <w:rPr>
          <w:rFonts w:hint="eastAsia"/>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67DE7931">
      <w:pPr>
        <w:spacing w:line="600" w:lineRule="exact"/>
        <w:ind w:firstLine="560"/>
        <w:rPr>
          <w:highlight w:val="none"/>
        </w:rPr>
      </w:pPr>
      <w:r>
        <w:rPr>
          <w:rFonts w:hint="eastAsia"/>
          <w:highlight w:val="none"/>
        </w:rPr>
        <w:t>根据以上原则，绩效评价应遵循如下要求：</w:t>
      </w:r>
    </w:p>
    <w:p w14:paraId="0DC408CA">
      <w:pPr>
        <w:spacing w:line="600" w:lineRule="exact"/>
        <w:ind w:firstLine="560"/>
        <w:rPr>
          <w:highlight w:val="none"/>
        </w:rPr>
      </w:pPr>
      <w:r>
        <w:rPr>
          <w:rFonts w:hint="eastAsia"/>
          <w:highlight w:val="none"/>
        </w:rPr>
        <w:t>（1）在数据采集时，采取客观数据，主管部门审查、社会中介组织复查，与问卷调查相结合的形式，以保证各项指标的真实性。</w:t>
      </w:r>
    </w:p>
    <w:p w14:paraId="632456CA">
      <w:pPr>
        <w:spacing w:line="600" w:lineRule="exact"/>
        <w:ind w:firstLine="560"/>
        <w:rPr>
          <w:highlight w:val="none"/>
        </w:rPr>
      </w:pPr>
      <w:r>
        <w:rPr>
          <w:rFonts w:hint="eastAsia"/>
          <w:highlight w:val="none"/>
        </w:rPr>
        <w:t>（2）保证评价结果的真实性、公正性，提高评价报告的公信力。</w:t>
      </w:r>
    </w:p>
    <w:p w14:paraId="764B1F92">
      <w:pPr>
        <w:spacing w:line="600" w:lineRule="exact"/>
        <w:ind w:firstLine="560"/>
        <w:rPr>
          <w:highlight w:val="none"/>
        </w:rPr>
      </w:pPr>
      <w:r>
        <w:rPr>
          <w:rFonts w:hint="eastAsia"/>
          <w:highlight w:val="none"/>
        </w:rPr>
        <w:t>（3）绩效评价报告应当简明扼要，除了对绩效评价的过程、结果描述外，还应总结经验，指出问题，并就共性问题提出可操作性改进建议。</w:t>
      </w:r>
    </w:p>
    <w:p w14:paraId="1FC4D17B">
      <w:pPr>
        <w:pStyle w:val="6"/>
        <w:ind w:firstLine="562"/>
        <w:rPr>
          <w:highlight w:val="none"/>
        </w:rPr>
      </w:pPr>
      <w:bookmarkStart w:id="8" w:name="_Toc26131"/>
      <w:bookmarkStart w:id="9" w:name="_Toc428278230"/>
      <w:bookmarkStart w:id="10" w:name="_Toc1913"/>
      <w:bookmarkStart w:id="11" w:name="_Toc419984722"/>
      <w:r>
        <w:rPr>
          <w:rFonts w:hint="eastAsia"/>
          <w:highlight w:val="none"/>
        </w:rPr>
        <w:t>2.绩效评价指标体系</w:t>
      </w:r>
      <w:bookmarkEnd w:id="8"/>
      <w:bookmarkEnd w:id="9"/>
      <w:bookmarkEnd w:id="10"/>
      <w:bookmarkEnd w:id="11"/>
    </w:p>
    <w:p w14:paraId="07B699FF">
      <w:pPr>
        <w:ind w:firstLine="560"/>
        <w:rPr>
          <w:rFonts w:hint="eastAsia"/>
          <w:highlight w:val="none"/>
          <w:lang w:val="en-US" w:eastAsia="zh-CN"/>
        </w:rPr>
      </w:pPr>
      <w:r>
        <w:rPr>
          <w:rFonts w:hint="eastAsia"/>
          <w:highlight w:val="none"/>
        </w:rPr>
        <w:t>我单位</w:t>
      </w:r>
      <w:r>
        <w:rPr>
          <w:rFonts w:hint="eastAsia"/>
          <w:highlight w:val="none"/>
          <w:lang w:val="zh-TW" w:eastAsia="zh-TW"/>
        </w:rPr>
        <w:t>根据项目的</w:t>
      </w:r>
      <w:r>
        <w:rPr>
          <w:rFonts w:hint="eastAsia"/>
          <w:highlight w:val="none"/>
        </w:rPr>
        <w:t>实施</w:t>
      </w:r>
      <w:r>
        <w:rPr>
          <w:rFonts w:hint="eastAsia"/>
          <w:highlight w:val="none"/>
          <w:lang w:val="zh-TW" w:eastAsia="zh-TW"/>
        </w:rPr>
        <w:t>资料研读及前期调研，结合项目的实际开展情况，按照《项目支出绩效评价管理办法》（财预〔2020〕10号）文件要求设置指标体系结构如下：设置一级指标共</w:t>
      </w:r>
      <w:r>
        <w:rPr>
          <w:rFonts w:hint="eastAsia"/>
          <w:highlight w:val="none"/>
          <w:lang w:val="en-US" w:eastAsia="zh-CN"/>
        </w:rPr>
        <w:t>5</w:t>
      </w:r>
      <w:r>
        <w:rPr>
          <w:rFonts w:hint="eastAsia"/>
          <w:highlight w:val="none"/>
          <w:lang w:val="zh-TW" w:eastAsia="zh-TW"/>
        </w:rPr>
        <w:t>个，包括：决策指标（2</w:t>
      </w:r>
      <w:r>
        <w:rPr>
          <w:rFonts w:hint="eastAsia"/>
          <w:highlight w:val="none"/>
          <w:lang w:val="en-US" w:eastAsia="zh-CN"/>
        </w:rPr>
        <w:t>0分</w:t>
      </w:r>
      <w:r>
        <w:rPr>
          <w:rFonts w:hint="eastAsia"/>
          <w:highlight w:val="none"/>
          <w:lang w:val="zh-TW" w:eastAsia="zh-TW"/>
        </w:rPr>
        <w:t>）、过程指标（</w:t>
      </w:r>
      <w:r>
        <w:rPr>
          <w:rFonts w:hint="eastAsia"/>
          <w:highlight w:val="none"/>
          <w:lang w:val="en-US" w:eastAsia="zh-CN"/>
        </w:rPr>
        <w:t>20分</w:t>
      </w:r>
      <w:r>
        <w:rPr>
          <w:rFonts w:hint="eastAsia"/>
          <w:highlight w:val="none"/>
          <w:lang w:val="zh-TW" w:eastAsia="zh-TW"/>
        </w:rPr>
        <w:t>）、产出指标（</w:t>
      </w:r>
      <w:r>
        <w:rPr>
          <w:rFonts w:hint="eastAsia"/>
          <w:highlight w:val="none"/>
          <w:lang w:val="en-US" w:eastAsia="zh-CN"/>
        </w:rPr>
        <w:t>24分</w:t>
      </w:r>
      <w:r>
        <w:rPr>
          <w:rFonts w:hint="eastAsia"/>
          <w:highlight w:val="none"/>
          <w:lang w:val="zh-TW" w:eastAsia="zh-TW"/>
        </w:rPr>
        <w:t>）、</w:t>
      </w:r>
      <w:r>
        <w:rPr>
          <w:rFonts w:hint="eastAsia"/>
          <w:highlight w:val="none"/>
          <w:lang w:val="zh-TW" w:eastAsia="zh-CN"/>
        </w:rPr>
        <w:t>成本指标（</w:t>
      </w:r>
      <w:r>
        <w:rPr>
          <w:rFonts w:hint="eastAsia"/>
          <w:highlight w:val="none"/>
          <w:lang w:val="en-US" w:eastAsia="zh-CN"/>
        </w:rPr>
        <w:t>12分</w:t>
      </w:r>
      <w:r>
        <w:rPr>
          <w:rFonts w:hint="eastAsia"/>
          <w:highlight w:val="none"/>
          <w:lang w:val="zh-TW" w:eastAsia="zh-CN"/>
        </w:rPr>
        <w:t>）、</w:t>
      </w:r>
      <w:r>
        <w:rPr>
          <w:rFonts w:hint="eastAsia"/>
          <w:highlight w:val="none"/>
          <w:lang w:val="zh-TW" w:eastAsia="zh-TW"/>
        </w:rPr>
        <w:t>效益指标（</w:t>
      </w:r>
      <w:r>
        <w:rPr>
          <w:rFonts w:hint="eastAsia"/>
          <w:highlight w:val="none"/>
          <w:lang w:val="en-US" w:eastAsia="zh-CN"/>
        </w:rPr>
        <w:t>24分</w:t>
      </w:r>
      <w:r>
        <w:rPr>
          <w:rFonts w:hint="eastAsia"/>
          <w:highlight w:val="none"/>
          <w:lang w:val="zh-TW" w:eastAsia="zh-TW"/>
        </w:rPr>
        <w:t>）</w:t>
      </w:r>
      <w:r>
        <w:rPr>
          <w:rFonts w:hint="eastAsia"/>
          <w:highlight w:val="none"/>
          <w:lang w:val="zh-TW" w:eastAsia="zh-CN"/>
        </w:rPr>
        <w:t>，</w:t>
      </w:r>
      <w:r>
        <w:rPr>
          <w:rFonts w:hint="eastAsia"/>
          <w:highlight w:val="none"/>
          <w:lang w:val="en-US" w:eastAsia="zh-CN"/>
        </w:rPr>
        <w:t>具体指标分类如下：</w:t>
      </w:r>
    </w:p>
    <w:p w14:paraId="2C4521B8">
      <w:pPr>
        <w:bidi w:val="0"/>
        <w:rPr>
          <w:rFonts w:hint="eastAsia"/>
          <w:highlight w:val="none"/>
          <w:lang w:eastAsia="zh-CN"/>
        </w:rPr>
      </w:pPr>
      <w:r>
        <w:rPr>
          <w:rFonts w:hint="eastAsia"/>
          <w:highlight w:val="none"/>
        </w:rPr>
        <w:t>一级指标为：决策、过程、产出、成本、效益</w:t>
      </w:r>
      <w:r>
        <w:rPr>
          <w:rFonts w:hint="eastAsia"/>
          <w:highlight w:val="none"/>
          <w:lang w:eastAsia="zh-CN"/>
        </w:rPr>
        <w:t>。</w:t>
      </w:r>
    </w:p>
    <w:p w14:paraId="5B70EAD9">
      <w:pPr>
        <w:bidi w:val="0"/>
        <w:rPr>
          <w:rFonts w:hint="eastAsia"/>
          <w:highlight w:val="none"/>
          <w:lang w:eastAsia="zh-CN"/>
        </w:rPr>
      </w:pPr>
      <w:r>
        <w:rPr>
          <w:rFonts w:hint="eastAsia"/>
          <w:highlight w:val="none"/>
        </w:rPr>
        <w:t>二级指标为：项目立项、绩效目标、资金投入、资金管理、组织实施、产出数量、产出质量、产出时效、</w:t>
      </w:r>
      <w:r>
        <w:rPr>
          <w:rFonts w:hint="eastAsia"/>
          <w:highlight w:val="none"/>
          <w:lang w:eastAsia="zh-CN"/>
        </w:rPr>
        <w:t>经济</w:t>
      </w:r>
      <w:r>
        <w:rPr>
          <w:rFonts w:hint="eastAsia"/>
          <w:highlight w:val="none"/>
        </w:rPr>
        <w:t>成本、项目</w:t>
      </w:r>
      <w:r>
        <w:rPr>
          <w:rFonts w:hint="eastAsia"/>
          <w:highlight w:val="none"/>
          <w:lang w:eastAsia="zh-CN"/>
        </w:rPr>
        <w:t>经济</w:t>
      </w:r>
      <w:r>
        <w:rPr>
          <w:rFonts w:hint="eastAsia"/>
          <w:highlight w:val="none"/>
        </w:rPr>
        <w:t>效益</w:t>
      </w:r>
      <w:r>
        <w:rPr>
          <w:rFonts w:hint="eastAsia"/>
          <w:highlight w:val="none"/>
          <w:lang w:eastAsia="zh-CN"/>
        </w:rPr>
        <w:t>、社会效益、生态效益、满意度。</w:t>
      </w:r>
    </w:p>
    <w:p w14:paraId="572D4D0D">
      <w:pPr>
        <w:ind w:firstLine="560"/>
        <w:rPr>
          <w:rFonts w:hint="eastAsia"/>
          <w:highlight w:val="none"/>
          <w:lang w:eastAsia="zh-CN"/>
        </w:rPr>
      </w:pPr>
      <w:r>
        <w:rPr>
          <w:rFonts w:hint="eastAsia"/>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highlight w:val="none"/>
          <w:lang w:eastAsia="zh-CN"/>
        </w:rPr>
        <w:t>。</w:t>
      </w:r>
    </w:p>
    <w:p w14:paraId="779FACA3">
      <w:pPr>
        <w:ind w:firstLine="560"/>
        <w:rPr>
          <w:highlight w:val="none"/>
        </w:rPr>
      </w:pPr>
      <w:r>
        <w:rPr>
          <w:rFonts w:hint="eastAsia"/>
          <w:highlight w:val="none"/>
          <w:lang w:val="en-US" w:eastAsia="zh-CN"/>
        </w:rPr>
        <w:t>指标体系包括指标体系表和综合得分表两部分，指标体系表是支持评价的基础数据，各指标的权重由该项目绩效评价小组根据绩效评价原理和评价需求，在调研基础上依据指标的重要性制定形成。综合得分表是项目一级指标汇总得分表。详细指标体系见《附件1：项目绩效评价指标体系表和项目综合得分表》。</w:t>
      </w:r>
    </w:p>
    <w:p w14:paraId="2FBD9C27">
      <w:pPr>
        <w:pStyle w:val="6"/>
        <w:ind w:firstLine="562"/>
        <w:rPr>
          <w:highlight w:val="none"/>
        </w:rPr>
      </w:pPr>
      <w:r>
        <w:rPr>
          <w:rFonts w:hint="eastAsia"/>
          <w:highlight w:val="none"/>
        </w:rPr>
        <w:t>3.评价方法</w:t>
      </w:r>
    </w:p>
    <w:p w14:paraId="4D072733">
      <w:pPr>
        <w:bidi w:val="0"/>
        <w:rPr>
          <w:rFonts w:hint="eastAsia"/>
          <w:highlight w:val="none"/>
        </w:rPr>
      </w:pPr>
      <w:r>
        <w:rPr>
          <w:rFonts w:hint="eastAsia"/>
          <w:highlight w:val="none"/>
          <w:lang w:val="en-US" w:eastAsia="zh-CN"/>
        </w:rPr>
        <w:t>本项目</w:t>
      </w:r>
      <w:r>
        <w:rPr>
          <w:rFonts w:hint="eastAsia"/>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14:paraId="2011FB15">
      <w:pPr>
        <w:bidi w:val="0"/>
        <w:rPr>
          <w:rFonts w:hint="eastAsia"/>
          <w:color w:val="FF0000"/>
          <w:highlight w:val="none"/>
        </w:rPr>
      </w:pPr>
      <w:r>
        <w:rPr>
          <w:rFonts w:hint="eastAsia"/>
          <w:highlight w:val="none"/>
        </w:rPr>
        <w:t>三级指标分析环节：总体采用比较法，同时辅以文献法、成本效益法、因素分析法以及公众评判法，根据不同三级指标类型进行逐项</w:t>
      </w:r>
      <w:r>
        <w:rPr>
          <w:rFonts w:hint="eastAsia"/>
          <w:color w:val="auto"/>
          <w:highlight w:val="none"/>
        </w:rPr>
        <w:t>分析。</w:t>
      </w:r>
    </w:p>
    <w:p w14:paraId="5CD3A4B4">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14:paraId="5BB0AE20">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14:paraId="3446D3AC">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14:paraId="474BE7C5">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14:paraId="7BF7F1D1">
      <w:pPr>
        <w:bidi w:val="0"/>
        <w:rPr>
          <w:rFonts w:hint="eastAsia"/>
          <w:color w:val="FF0000"/>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14:paraId="6F4CB926">
      <w:pPr>
        <w:pStyle w:val="6"/>
        <w:ind w:firstLine="562"/>
        <w:rPr>
          <w:highlight w:val="none"/>
        </w:rPr>
      </w:pPr>
      <w:r>
        <w:rPr>
          <w:rFonts w:hint="eastAsia"/>
          <w:highlight w:val="none"/>
        </w:rPr>
        <w:t>4.评价标准</w:t>
      </w:r>
    </w:p>
    <w:p w14:paraId="331B27E6">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7FED6F8">
      <w:pPr>
        <w:ind w:firstLine="56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（1）计划标准</w:t>
      </w:r>
      <w:r>
        <w:rPr>
          <w:rFonts w:hint="eastAsia" w:cs="Times New Roman"/>
          <w:highlight w:val="none"/>
          <w:lang w:val="en-US" w:eastAsia="zh-CN"/>
        </w:rPr>
        <w:t>：将</w:t>
      </w:r>
      <w:r>
        <w:rPr>
          <w:rFonts w:hint="eastAsia" w:ascii="Times New Roman" w:hAnsi="Times New Roman" w:cs="Times New Roman"/>
          <w:highlight w:val="none"/>
          <w:lang w:val="en-US" w:eastAsia="zh-CN"/>
        </w:rPr>
        <w:t>预先制定的目标、计划、预算、定额等作为评价标准。</w:t>
      </w:r>
    </w:p>
    <w:p w14:paraId="32A6D217">
      <w:pPr>
        <w:ind w:firstLine="56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w:t>
      </w:r>
      <w:r>
        <w:rPr>
          <w:rFonts w:hint="eastAsia" w:cs="Times New Roman"/>
          <w:highlight w:val="none"/>
          <w:lang w:val="en-US" w:eastAsia="zh-CN"/>
        </w:rPr>
        <w:t>2</w:t>
      </w:r>
      <w:r>
        <w:rPr>
          <w:rFonts w:hint="eastAsia" w:ascii="Times New Roman" w:hAnsi="Times New Roman" w:cs="Times New Roman"/>
          <w:highlight w:val="none"/>
          <w:lang w:val="en-US" w:eastAsia="zh-CN"/>
        </w:rPr>
        <w:t>）历史标准</w:t>
      </w:r>
      <w:r>
        <w:rPr>
          <w:rFonts w:hint="eastAsia" w:cs="Times New Roman"/>
          <w:highlight w:val="none"/>
          <w:lang w:val="en-US" w:eastAsia="zh-CN"/>
        </w:rPr>
        <w:t>：</w:t>
      </w:r>
      <w:r>
        <w:rPr>
          <w:rFonts w:hint="eastAsia" w:ascii="Times New Roman" w:hAnsi="Times New Roman" w:cs="Times New Roman"/>
          <w:highlight w:val="none"/>
          <w:lang w:val="en-US" w:eastAsia="zh-CN"/>
        </w:rPr>
        <w:t>参照历史数据制定的评价标准，为体现绩效改进的原则，在可实现的条件下应当确定相对较高的评价标准。</w:t>
      </w:r>
    </w:p>
    <w:p w14:paraId="67D290EB">
      <w:pPr>
        <w:ind w:firstLine="560"/>
        <w:rPr>
          <w:highlight w:val="none"/>
        </w:rPr>
      </w:pPr>
      <w:r>
        <w:rPr>
          <w:rFonts w:hint="eastAsia" w:ascii="Times New Roman" w:hAnsi="Times New Roman" w:cs="Times New Roman"/>
          <w:highlight w:val="none"/>
          <w:lang w:val="en-US" w:eastAsia="zh-CN"/>
        </w:rPr>
        <w:t>（</w:t>
      </w:r>
      <w:r>
        <w:rPr>
          <w:rFonts w:hint="eastAsia" w:cs="Times New Roman"/>
          <w:highlight w:val="none"/>
          <w:lang w:val="en-US" w:eastAsia="zh-CN"/>
        </w:rPr>
        <w:t>3</w:t>
      </w:r>
      <w:r>
        <w:rPr>
          <w:rFonts w:hint="eastAsia" w:ascii="Times New Roman" w:hAnsi="Times New Roman" w:cs="Times New Roman"/>
          <w:highlight w:val="none"/>
          <w:lang w:val="en-US" w:eastAsia="zh-CN"/>
        </w:rPr>
        <w:t>）财政部门和预算部门确认或认可的其他标准。</w:t>
      </w:r>
    </w:p>
    <w:p w14:paraId="3C609182">
      <w:pPr>
        <w:pStyle w:val="5"/>
        <w:numPr>
          <w:ilvl w:val="0"/>
          <w:numId w:val="1"/>
        </w:numPr>
        <w:ind w:firstLine="643"/>
        <w:rPr>
          <w:highlight w:val="none"/>
        </w:rPr>
      </w:pPr>
      <w:r>
        <w:rPr>
          <w:rFonts w:hint="eastAsia"/>
          <w:highlight w:val="none"/>
        </w:rPr>
        <w:t>绩效评价工作过程</w:t>
      </w:r>
    </w:p>
    <w:p w14:paraId="6568DAB9">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1.前期准备</w:t>
      </w:r>
    </w:p>
    <w:p w14:paraId="39F3DF09">
      <w:pPr>
        <w:rPr>
          <w:rFonts w:hint="eastAsia" w:ascii="Times New Roman" w:hAnsi="Times New Roman" w:cs="Times New Roman"/>
          <w:highlight w:val="none"/>
          <w:lang w:val="zh-TW" w:eastAsia="zh-TW"/>
        </w:rPr>
      </w:pPr>
      <w:r>
        <w:rPr>
          <w:rFonts w:hint="eastAsia" w:ascii="Times New Roman" w:hAnsi="Times New Roman" w:cs="Times New Roman"/>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highlight w:val="none"/>
          <w:lang w:val="en-US" w:eastAsia="zh-CN"/>
        </w:rPr>
        <w:t>。</w:t>
      </w:r>
      <w:r>
        <w:rPr>
          <w:rFonts w:hint="eastAsia"/>
          <w:color w:val="auto"/>
          <w:highlight w:val="none"/>
          <w:lang w:val="en-US" w:eastAsia="zh-CN"/>
        </w:rPr>
        <w:t>2024年3月6日，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highlight w:val="none"/>
          <w:lang w:val="en-US" w:eastAsia="zh-CN"/>
        </w:rPr>
        <w:t>成员和职责如下：</w:t>
      </w:r>
    </w:p>
    <w:p w14:paraId="576AC73D">
      <w:pPr>
        <w:ind w:firstLine="560"/>
        <w:rPr>
          <w:rFonts w:hint="default"/>
          <w:color w:val="auto"/>
          <w:highlight w:val="none"/>
          <w:lang w:val="en-US" w:eastAsia="zh-CN"/>
        </w:rPr>
      </w:pPr>
      <w:r>
        <w:rPr>
          <w:rFonts w:hint="eastAsia"/>
          <w:highlight w:val="none"/>
          <w:lang w:val="en-US" w:eastAsia="zh-CN"/>
        </w:rPr>
        <w:t>（1）</w:t>
      </w:r>
      <w:r>
        <w:rPr>
          <w:rFonts w:hint="eastAsia"/>
          <w:color w:val="auto"/>
          <w:highlight w:val="none"/>
          <w:lang w:val="en-US" w:eastAsia="zh-CN"/>
        </w:rPr>
        <w:t>评价组组长：陈亮，</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0FB57CB4">
      <w:pPr>
        <w:ind w:firstLine="560"/>
        <w:rPr>
          <w:rFonts w:hint="eastAsia"/>
          <w:color w:val="auto"/>
          <w:highlight w:val="none"/>
          <w:lang w:val="en-US" w:eastAsia="zh-CN"/>
        </w:rPr>
      </w:pPr>
      <w:r>
        <w:rPr>
          <w:rFonts w:hint="eastAsia"/>
          <w:color w:val="auto"/>
          <w:highlight w:val="none"/>
          <w:lang w:val="en-US" w:eastAsia="zh-CN"/>
        </w:rPr>
        <w:t>（2）评价组成员：马静，</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6FB6B96">
      <w:pPr>
        <w:ind w:firstLine="560"/>
        <w:rPr>
          <w:rFonts w:hint="eastAsia" w:ascii="Times New Roman" w:hAnsi="Times New Roman" w:cs="Times New Roman"/>
          <w:highlight w:val="none"/>
          <w:lang w:val="en-US" w:eastAsia="zh-CN"/>
        </w:rPr>
      </w:pPr>
      <w:r>
        <w:rPr>
          <w:rFonts w:hint="eastAsia"/>
          <w:color w:val="auto"/>
          <w:highlight w:val="none"/>
          <w:lang w:val="en-US" w:eastAsia="zh-CN"/>
        </w:rPr>
        <w:t>（3）评价组成员：开赛尔江·依力哈木，</w:t>
      </w:r>
      <w:r>
        <w:rPr>
          <w:rFonts w:hint="eastAsia"/>
          <w:color w:val="auto"/>
          <w:highlight w:val="none"/>
        </w:rPr>
        <w:t>主要负责现场调研工作，完成收集整理资料、审核数据、填报绩效评价内容等工作</w:t>
      </w:r>
      <w:r>
        <w:rPr>
          <w:rFonts w:hint="eastAsia"/>
          <w:highlight w:val="none"/>
          <w:lang w:val="en-US" w:eastAsia="zh-CN"/>
        </w:rPr>
        <w:t>。</w:t>
      </w:r>
    </w:p>
    <w:p w14:paraId="6598E97B">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2.</w:t>
      </w:r>
      <w:r>
        <w:rPr>
          <w:rFonts w:hint="eastAsia" w:cs="Times New Roman"/>
          <w:b/>
          <w:bCs/>
          <w:highlight w:val="none"/>
          <w:lang w:val="en-US" w:eastAsia="zh-CN"/>
        </w:rPr>
        <w:t>组织</w:t>
      </w:r>
      <w:r>
        <w:rPr>
          <w:rFonts w:hint="eastAsia" w:ascii="Times New Roman" w:hAnsi="Times New Roman" w:cs="Times New Roman"/>
          <w:b/>
          <w:bCs/>
          <w:highlight w:val="none"/>
          <w:lang w:val="en-US" w:eastAsia="zh-CN"/>
        </w:rPr>
        <w:t>实施</w:t>
      </w:r>
    </w:p>
    <w:p w14:paraId="63E4A501">
      <w:pPr>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7</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10</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6ABE4E0F">
      <w:pPr>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3.分析评价和撰写报告</w:t>
      </w:r>
    </w:p>
    <w:p w14:paraId="49A69E81">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（1）综合分析评价</w:t>
      </w:r>
    </w:p>
    <w:p w14:paraId="2EF99784">
      <w:pPr>
        <w:bidi w:val="0"/>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264BC0C2">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（2）撰写报告</w:t>
      </w:r>
    </w:p>
    <w:p w14:paraId="6F11A380">
      <w:pPr>
        <w:rPr>
          <w:rFonts w:hint="eastAsia" w:ascii="Times New Roman" w:hAnsi="Times New Roman" w:cs="Times New Roman"/>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20</w:t>
      </w:r>
      <w:r>
        <w:rPr>
          <w:rFonts w:hint="eastAsia"/>
          <w:color w:val="auto"/>
          <w:highlight w:val="none"/>
          <w:lang w:eastAsia="zh-CN"/>
        </w:rPr>
        <w:t>日，</w:t>
      </w:r>
      <w:r>
        <w:rPr>
          <w:rFonts w:hint="eastAsia" w:ascii="Times New Roman" w:hAnsi="Times New Roman" w:cs="Times New Roman"/>
          <w:highlight w:val="none"/>
          <w:lang w:val="en-US" w:eastAsia="zh-CN"/>
        </w:rPr>
        <w:t>绩效评价项目小组依照整理、分析后的项目材料、数据资料，依据评价形成的初步结论，按照</w:t>
      </w:r>
      <w:r>
        <w:rPr>
          <w:rFonts w:hint="eastAsia" w:cs="Times New Roman"/>
          <w:highlight w:val="none"/>
          <w:lang w:val="en-US" w:eastAsia="zh-CN"/>
        </w:rPr>
        <w:t>绩效系统中统一</w:t>
      </w:r>
      <w:r>
        <w:rPr>
          <w:rFonts w:hint="eastAsia" w:ascii="Times New Roman" w:hAnsi="Times New Roman" w:cs="Times New Roman"/>
          <w:highlight w:val="none"/>
          <w:lang w:val="en-US" w:eastAsia="zh-CN"/>
        </w:rPr>
        <w:t>的格式和内容要求撰写绩效评价初步报告，最终形成评价结果。</w:t>
      </w:r>
    </w:p>
    <w:p w14:paraId="31B3C29D">
      <w:pPr>
        <w:pStyle w:val="6"/>
        <w:bidi w:val="0"/>
        <w:rPr>
          <w:rFonts w:hint="eastAsia"/>
          <w:highlight w:val="none"/>
          <w:lang w:val="en-US" w:eastAsia="zh-CN"/>
        </w:rPr>
      </w:pPr>
      <w:bookmarkStart w:id="12" w:name="_Toc5055"/>
      <w:r>
        <w:rPr>
          <w:rFonts w:hint="eastAsia"/>
          <w:highlight w:val="none"/>
          <w:lang w:val="en-US" w:eastAsia="zh-CN"/>
        </w:rPr>
        <w:t>4.归集档案</w:t>
      </w:r>
      <w:bookmarkEnd w:id="12"/>
    </w:p>
    <w:p w14:paraId="4E951209">
      <w:pPr>
        <w:bidi w:val="0"/>
        <w:rPr>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7C3D604E">
      <w:pPr>
        <w:pStyle w:val="4"/>
        <w:numPr>
          <w:ilvl w:val="0"/>
          <w:numId w:val="2"/>
        </w:numPr>
        <w:ind w:firstLine="640"/>
        <w:rPr>
          <w:highlight w:val="none"/>
        </w:rPr>
      </w:pPr>
      <w:r>
        <w:rPr>
          <w:rFonts w:hint="eastAsia"/>
          <w:highlight w:val="none"/>
        </w:rPr>
        <w:t>综合评价情况及评价结论</w:t>
      </w:r>
    </w:p>
    <w:p w14:paraId="094275FE">
      <w:pPr>
        <w:pStyle w:val="5"/>
        <w:bidi w:val="0"/>
        <w:rPr>
          <w:rFonts w:hint="eastAsia" w:ascii="仿宋_GB2312" w:hAnsi="仿宋_GB2312" w:cs="仿宋_GB2312"/>
          <w:sz w:val="32"/>
          <w:highlight w:val="none"/>
        </w:rPr>
      </w:pPr>
      <w:bookmarkStart w:id="13" w:name="_Toc68364665"/>
      <w:r>
        <w:rPr>
          <w:rFonts w:hint="eastAsia" w:ascii="仿宋_GB2312" w:hAnsi="仿宋_GB2312" w:cs="仿宋_GB2312"/>
          <w:sz w:val="32"/>
          <w:highlight w:val="none"/>
        </w:rPr>
        <w:t>（一）综合评价情况</w:t>
      </w:r>
      <w:bookmarkEnd w:id="13"/>
    </w:p>
    <w:p w14:paraId="4BB145ED">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经评价，本项目部分达到了年初设立的绩效目标，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5EBBF7C4">
      <w:pPr>
        <w:bidi w:val="0"/>
        <w:rPr>
          <w:rFonts w:hint="eastAsia"/>
          <w:color w:val="auto"/>
          <w:highlight w:val="none"/>
          <w:lang w:eastAsia="zh-CN"/>
        </w:rPr>
      </w:pPr>
      <w:r>
        <w:rPr>
          <w:rFonts w:hint="eastAsia"/>
          <w:color w:val="auto"/>
          <w:highlight w:val="none"/>
        </w:rPr>
        <w:t>项目</w:t>
      </w:r>
      <w:r>
        <w:rPr>
          <w:rFonts w:hint="eastAsia"/>
          <w:color w:val="auto"/>
          <w:highlight w:val="none"/>
          <w:lang w:eastAsia="zh-CN"/>
        </w:rPr>
        <w:t>决策</w:t>
      </w:r>
      <w:r>
        <w:rPr>
          <w:rFonts w:hint="eastAsia"/>
          <w:color w:val="auto"/>
          <w:highlight w:val="none"/>
        </w:rPr>
        <w:t>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但三级指标过于细化，未反映核心工作，且三级指标间不够关联；项目预算编制经过科学论证、有明确标准，资金额度与年度目标相适应；项目预算资金分配有测算依据，由于单位实际业务需要，资金进行了统筹支出，导致大多成本指标与单位实际不相适应</w:t>
      </w:r>
      <w:r>
        <w:rPr>
          <w:rFonts w:hint="eastAsia"/>
          <w:color w:val="auto"/>
          <w:highlight w:val="none"/>
          <w:lang w:eastAsia="zh-CN"/>
        </w:rPr>
        <w:t xml:space="preserve">。 </w:t>
      </w:r>
    </w:p>
    <w:p w14:paraId="65719657">
      <w:pPr>
        <w:bidi w:val="0"/>
        <w:rPr>
          <w:rFonts w:hint="eastAsia"/>
          <w:color w:val="auto"/>
          <w:highlight w:val="none"/>
          <w:lang w:val="en-US" w:eastAsia="zh-CN"/>
        </w:rPr>
      </w:pPr>
      <w:r>
        <w:rPr>
          <w:rFonts w:hint="eastAsia"/>
          <w:color w:val="auto"/>
          <w:highlight w:val="none"/>
          <w:lang w:val="en-US" w:eastAsia="zh-CN"/>
        </w:rPr>
        <w:t>项目管理方面：项目预算资金按照计划执行，项目资金使用符合相关的财务管理制度规定，项目实施单位的财务和业务管理制度健全，项目实施符合相关管理规定，项目调整及支出调整手续完备。</w:t>
      </w:r>
    </w:p>
    <w:p w14:paraId="563CF925">
      <w:pPr>
        <w:bidi w:val="0"/>
        <w:rPr>
          <w:rFonts w:hint="eastAsia"/>
          <w:color w:val="auto"/>
          <w:highlight w:val="none"/>
          <w:lang w:val="en-US" w:eastAsia="zh-CN"/>
        </w:rPr>
      </w:pPr>
      <w:r>
        <w:rPr>
          <w:rFonts w:hint="eastAsia"/>
          <w:color w:val="auto"/>
          <w:highlight w:val="none"/>
          <w:lang w:eastAsia="zh-CN"/>
        </w:rPr>
        <w:t>项目产出、效益方面：</w:t>
      </w:r>
      <w:r>
        <w:rPr>
          <w:rFonts w:hint="eastAsia"/>
          <w:color w:val="auto"/>
          <w:highlight w:val="none"/>
          <w:lang w:val="en-US" w:eastAsia="zh-CN"/>
        </w:rPr>
        <w:t>截止2023年12月底，</w:t>
      </w:r>
      <w:r>
        <w:rPr>
          <w:rFonts w:hint="eastAsia" w:cs="Times New Roman"/>
          <w:color w:val="000000"/>
          <w:spacing w:val="0"/>
          <w:kern w:val="0"/>
          <w:sz w:val="28"/>
          <w:szCs w:val="28"/>
          <w:highlight w:val="none"/>
          <w:lang w:val="en-US" w:eastAsia="zh-CN"/>
        </w:rPr>
        <w:t>通过</w:t>
      </w:r>
      <w:r>
        <w:rPr>
          <w:rFonts w:hint="eastAsia"/>
          <w:color w:val="auto"/>
          <w:highlight w:val="none"/>
          <w:lang w:val="en-US" w:eastAsia="zh-CN"/>
        </w:rPr>
        <w:t>乡镇基层运转综合业务项目经费</w:t>
      </w:r>
      <w:r>
        <w:rPr>
          <w:rFonts w:hint="eastAsia" w:cs="Times New Roman"/>
          <w:color w:val="000000"/>
          <w:spacing w:val="0"/>
          <w:kern w:val="0"/>
          <w:sz w:val="28"/>
          <w:szCs w:val="28"/>
          <w:highlight w:val="none"/>
          <w:lang w:val="en-US" w:eastAsia="zh-CN"/>
        </w:rPr>
        <w:t>支持，</w:t>
      </w:r>
      <w:r>
        <w:rPr>
          <w:rFonts w:hint="eastAsia"/>
          <w:color w:val="auto"/>
          <w:highlight w:val="none"/>
          <w:lang w:val="en-US" w:eastAsia="zh-CN"/>
        </w:rPr>
        <w:t>保障了10个社区</w:t>
      </w:r>
      <w:r>
        <w:rPr>
          <w:rFonts w:hint="eastAsia" w:cs="Times New Roman"/>
          <w:color w:val="000000"/>
          <w:spacing w:val="0"/>
          <w:kern w:val="0"/>
          <w:sz w:val="28"/>
          <w:szCs w:val="28"/>
          <w:highlight w:val="none"/>
          <w:lang w:val="en-US" w:eastAsia="zh-CN"/>
        </w:rPr>
        <w:t>各项业务</w:t>
      </w:r>
      <w:r>
        <w:rPr>
          <w:rFonts w:hint="eastAsia"/>
          <w:color w:val="auto"/>
          <w:highlight w:val="none"/>
          <w:lang w:val="en-US" w:eastAsia="zh-CN"/>
        </w:rPr>
        <w:t>工作的</w:t>
      </w:r>
      <w:r>
        <w:rPr>
          <w:rFonts w:hint="eastAsia" w:cs="Times New Roman"/>
          <w:color w:val="000000"/>
          <w:spacing w:val="0"/>
          <w:kern w:val="0"/>
          <w:sz w:val="28"/>
          <w:szCs w:val="28"/>
          <w:highlight w:val="none"/>
          <w:lang w:val="en-US" w:eastAsia="zh-CN"/>
        </w:rPr>
        <w:t>有序开展</w:t>
      </w:r>
      <w:r>
        <w:rPr>
          <w:rFonts w:hint="eastAsia"/>
          <w:color w:val="auto"/>
          <w:highlight w:val="none"/>
          <w:lang w:val="en-US" w:eastAsia="zh-CN"/>
        </w:rPr>
        <w:t>运行，</w:t>
      </w:r>
      <w:r>
        <w:rPr>
          <w:rFonts w:hint="eastAsia" w:cs="Times New Roman"/>
          <w:color w:val="000000"/>
          <w:spacing w:val="0"/>
          <w:kern w:val="0"/>
          <w:sz w:val="28"/>
          <w:szCs w:val="28"/>
          <w:highlight w:val="none"/>
          <w:lang w:val="en-US" w:eastAsia="zh-CN"/>
        </w:rPr>
        <w:t>为各社区工作提供良好的硬件条件，提高了社区基层</w:t>
      </w:r>
      <w:r>
        <w:rPr>
          <w:rFonts w:hint="eastAsia" w:ascii="Times New Roman" w:hAnsi="Times New Roman" w:eastAsia="仿宋_GB2312" w:cs="Times New Roman"/>
          <w:color w:val="000000"/>
          <w:spacing w:val="0"/>
          <w:kern w:val="0"/>
          <w:sz w:val="28"/>
          <w:szCs w:val="28"/>
          <w:highlight w:val="none"/>
          <w:lang w:val="en-US" w:eastAsia="zh-CN"/>
        </w:rPr>
        <w:t>工作效率，人居环境明显改善,丰富</w:t>
      </w:r>
      <w:r>
        <w:rPr>
          <w:rFonts w:hint="eastAsia" w:cs="Times New Roman"/>
          <w:color w:val="000000"/>
          <w:spacing w:val="0"/>
          <w:kern w:val="0"/>
          <w:sz w:val="28"/>
          <w:szCs w:val="28"/>
          <w:highlight w:val="none"/>
          <w:lang w:val="en-US" w:eastAsia="zh-CN"/>
        </w:rPr>
        <w:t>了</w:t>
      </w:r>
      <w:r>
        <w:rPr>
          <w:rFonts w:hint="eastAsia" w:ascii="Times New Roman" w:hAnsi="Times New Roman" w:eastAsia="仿宋_GB2312" w:cs="Times New Roman"/>
          <w:color w:val="000000"/>
          <w:spacing w:val="0"/>
          <w:kern w:val="0"/>
          <w:sz w:val="28"/>
          <w:szCs w:val="28"/>
          <w:highlight w:val="none"/>
          <w:lang w:val="en-US" w:eastAsia="zh-CN"/>
        </w:rPr>
        <w:t>群众精神文明活动，</w:t>
      </w:r>
      <w:r>
        <w:rPr>
          <w:rFonts w:hint="eastAsia" w:ascii="Times New Roman" w:hAnsi="Times New Roman" w:eastAsia="仿宋_GB2312" w:cs="Times New Roman"/>
          <w:color w:val="000000"/>
          <w:spacing w:val="0"/>
          <w:kern w:val="0"/>
          <w:sz w:val="28"/>
          <w:szCs w:val="28"/>
          <w:highlight w:val="none"/>
          <w:lang w:val="en-US" w:eastAsia="zh-CN" w:bidi="ar-SA"/>
        </w:rPr>
        <w:t>保障各社区生产安全、公共卫生安全，</w:t>
      </w:r>
      <w:r>
        <w:rPr>
          <w:rFonts w:hint="eastAsia" w:ascii="Times New Roman" w:hAnsi="Times New Roman" w:eastAsia="仿宋_GB2312" w:cs="Times New Roman"/>
          <w:color w:val="000000"/>
          <w:spacing w:val="0"/>
          <w:kern w:val="0"/>
          <w:sz w:val="28"/>
          <w:szCs w:val="28"/>
          <w:highlight w:val="none"/>
          <w:lang w:val="en-US" w:eastAsia="zh-CN"/>
        </w:rPr>
        <w:t>提高了群众的安全感</w:t>
      </w:r>
      <w:r>
        <w:rPr>
          <w:rFonts w:hint="eastAsia" w:cs="Times New Roman"/>
          <w:color w:val="000000"/>
          <w:spacing w:val="0"/>
          <w:kern w:val="0"/>
          <w:sz w:val="28"/>
          <w:szCs w:val="28"/>
          <w:highlight w:val="none"/>
          <w:lang w:val="en-US" w:eastAsia="zh-CN"/>
        </w:rPr>
        <w:t>，</w:t>
      </w:r>
      <w:r>
        <w:rPr>
          <w:rFonts w:hint="eastAsia" w:ascii="Times New Roman" w:hAnsi="Times New Roman" w:eastAsia="仿宋_GB2312" w:cs="Times New Roman"/>
          <w:color w:val="000000"/>
          <w:spacing w:val="0"/>
          <w:kern w:val="0"/>
          <w:sz w:val="28"/>
          <w:szCs w:val="28"/>
          <w:highlight w:val="none"/>
          <w:lang w:val="en-US" w:eastAsia="zh-CN" w:bidi="ar-SA"/>
        </w:rPr>
        <w:t>推动</w:t>
      </w:r>
      <w:r>
        <w:rPr>
          <w:rFonts w:hint="eastAsia" w:cs="Times New Roman"/>
          <w:color w:val="000000"/>
          <w:spacing w:val="0"/>
          <w:kern w:val="0"/>
          <w:sz w:val="28"/>
          <w:szCs w:val="28"/>
          <w:highlight w:val="none"/>
          <w:lang w:val="en-US" w:eastAsia="zh-CN" w:bidi="ar-SA"/>
        </w:rPr>
        <w:t>了</w:t>
      </w:r>
      <w:r>
        <w:rPr>
          <w:rFonts w:hint="eastAsia" w:ascii="Times New Roman" w:hAnsi="Times New Roman" w:eastAsia="仿宋_GB2312" w:cs="Times New Roman"/>
          <w:color w:val="000000"/>
          <w:spacing w:val="0"/>
          <w:kern w:val="0"/>
          <w:sz w:val="28"/>
          <w:szCs w:val="28"/>
          <w:highlight w:val="none"/>
          <w:lang w:val="en-US" w:eastAsia="zh-CN" w:bidi="ar-SA"/>
        </w:rPr>
        <w:t>社区高质量发展</w:t>
      </w:r>
      <w:r>
        <w:rPr>
          <w:rFonts w:hint="eastAsia"/>
          <w:color w:val="auto"/>
          <w:highlight w:val="none"/>
          <w:lang w:val="en-US" w:eastAsia="zh-CN"/>
        </w:rPr>
        <w:t>。</w:t>
      </w:r>
    </w:p>
    <w:p w14:paraId="42957510">
      <w:pPr>
        <w:pStyle w:val="5"/>
        <w:bidi w:val="0"/>
        <w:rPr>
          <w:rFonts w:hint="eastAsia"/>
          <w:color w:val="auto"/>
          <w:highlight w:val="none"/>
        </w:rPr>
      </w:pPr>
      <w:r>
        <w:rPr>
          <w:rFonts w:hint="eastAsia"/>
          <w:color w:val="auto"/>
          <w:highlight w:val="none"/>
        </w:rPr>
        <w:t>（二）综合评价结论</w:t>
      </w:r>
    </w:p>
    <w:bookmarkEnd w:id="14"/>
    <w:p w14:paraId="399E3AAB">
      <w:pPr>
        <w:bidi w:val="0"/>
        <w:rPr>
          <w:rFonts w:hint="eastAsia"/>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87.38分，绩效评级为“良好”。综合评价结论如下：本项目决策指标共设置6个，满分20分，得分率92%；项目过程指标共设置5个，满分20分，得分率98.87%；项目产出指标共设置7个，满分24分，得分率100%；项目成本类指标共设置11个，满分12分，得分率10.08%；项目效益指标共设置3个，满分24分，得分率100%。</w:t>
      </w:r>
    </w:p>
    <w:p w14:paraId="752E78F8">
      <w:pPr>
        <w:pStyle w:val="4"/>
        <w:numPr>
          <w:ilvl w:val="0"/>
          <w:numId w:val="2"/>
        </w:numPr>
        <w:ind w:firstLine="640"/>
        <w:rPr>
          <w:rFonts w:hint="eastAsia"/>
          <w:highlight w:val="none"/>
        </w:rPr>
      </w:pPr>
      <w:r>
        <w:rPr>
          <w:rFonts w:hint="eastAsia"/>
          <w:highlight w:val="none"/>
        </w:rPr>
        <w:t>绩效评价指标分析</w:t>
      </w:r>
    </w:p>
    <w:p w14:paraId="256C089C">
      <w:pPr>
        <w:pStyle w:val="5"/>
        <w:bidi w:val="0"/>
        <w:rPr>
          <w:rFonts w:hint="eastAsia" w:ascii="仿宋_GB2312" w:hAnsi="仿宋_GB2312" w:cs="仿宋_GB2312"/>
          <w:sz w:val="32"/>
          <w:highlight w:val="none"/>
        </w:rPr>
      </w:pPr>
      <w:bookmarkStart w:id="15" w:name="_Toc68364668"/>
      <w:r>
        <w:rPr>
          <w:rFonts w:hint="eastAsia" w:ascii="仿宋_GB2312" w:hAnsi="仿宋_GB2312" w:cs="仿宋_GB2312"/>
          <w:sz w:val="32"/>
          <w:highlight w:val="none"/>
        </w:rPr>
        <w:t>（一）项目决策情况</w:t>
      </w:r>
    </w:p>
    <w:p w14:paraId="6ED04732">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18.4</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92</w:t>
      </w:r>
      <w:r>
        <w:rPr>
          <w:rFonts w:hint="eastAsia" w:ascii="仿宋_GB2312" w:hAnsi="仿宋_GB2312" w:cs="仿宋_GB2312"/>
          <w:color w:val="auto"/>
          <w:sz w:val="28"/>
          <w:szCs w:val="28"/>
          <w:highlight w:val="none"/>
        </w:rPr>
        <w:t>%。</w:t>
      </w:r>
    </w:p>
    <w:p w14:paraId="3F85BD8E">
      <w:pPr>
        <w:pStyle w:val="6"/>
        <w:bidi w:val="0"/>
        <w:rPr>
          <w:rFonts w:hint="eastAsia"/>
          <w:highlight w:val="none"/>
          <w:lang w:val="en-US" w:eastAsia="zh-CN"/>
        </w:rPr>
      </w:pPr>
      <w:r>
        <w:rPr>
          <w:rFonts w:hint="eastAsia"/>
          <w:highlight w:val="none"/>
          <w:lang w:val="en-US" w:eastAsia="zh-CN"/>
        </w:rPr>
        <w:t>1.项目立项情况分析</w:t>
      </w:r>
    </w:p>
    <w:p w14:paraId="3F2A557F">
      <w:pPr>
        <w:bidi w:val="0"/>
        <w:rPr>
          <w:rFonts w:hint="eastAsia"/>
          <w:b/>
          <w:bCs/>
          <w:highlight w:val="none"/>
        </w:rPr>
      </w:pPr>
      <w:r>
        <w:rPr>
          <w:rFonts w:hint="eastAsia"/>
          <w:b/>
          <w:bCs/>
          <w:highlight w:val="none"/>
        </w:rPr>
        <w:t>（1）立项依据充分性：</w:t>
      </w:r>
    </w:p>
    <w:p w14:paraId="3772C82F">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中华人民共和国政府采购法</w:t>
      </w:r>
      <w:r>
        <w:rPr>
          <w:rFonts w:hint="eastAsia"/>
          <w:color w:val="auto"/>
          <w:highlight w:val="none"/>
        </w:rPr>
        <w:t>》等国家法律法规关于</w:t>
      </w:r>
      <w:bookmarkStart w:id="18" w:name="_GoBack"/>
      <w:bookmarkEnd w:id="18"/>
      <w:r>
        <w:rPr>
          <w:rFonts w:hint="eastAsia"/>
          <w:color w:val="auto"/>
          <w:highlight w:val="none"/>
          <w:lang w:eastAsia="zh-CN"/>
        </w:rPr>
        <w:t>“十四五”规划</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托克逊镇乡镇基层运转综合业务项目经费</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其他组织事务支出2013299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1AE44CC5">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sz w:val="28"/>
          <w:szCs w:val="28"/>
          <w:highlight w:val="none"/>
        </w:rPr>
        <w:t>（2）立项程序规范性：</w:t>
      </w:r>
    </w:p>
    <w:p w14:paraId="6822D96B">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资金申请</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单位按照程序向县财政局提交了资金申请报告、支出明细等相关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5C18F61F">
      <w:pPr>
        <w:pStyle w:val="6"/>
        <w:bidi w:val="0"/>
        <w:rPr>
          <w:rFonts w:hint="eastAsia"/>
          <w:highlight w:val="none"/>
          <w:lang w:val="en-US" w:eastAsia="zh-CN"/>
        </w:rPr>
      </w:pPr>
      <w:r>
        <w:rPr>
          <w:rFonts w:hint="eastAsia"/>
          <w:highlight w:val="none"/>
          <w:lang w:val="en-US" w:eastAsia="zh-CN"/>
        </w:rPr>
        <w:t>2.绩效目标情况分析</w:t>
      </w:r>
    </w:p>
    <w:p w14:paraId="6A9BDF01">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）绩效目标合理性</w:t>
      </w:r>
      <w:r>
        <w:rPr>
          <w:rFonts w:hint="eastAsia" w:ascii="仿宋_GB2312" w:cs="仿宋_GB2312"/>
          <w:sz w:val="28"/>
          <w:szCs w:val="28"/>
          <w:highlight w:val="none"/>
        </w:rPr>
        <w:t>：</w:t>
      </w:r>
    </w:p>
    <w:p w14:paraId="2427E3F2">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确保落实基层运转综合业务工作有序开展。进一步提高人民群众安全感，幸福感和获得感。为进一步坚决落实中央、自治区重大决算部署，落实社会稳定和长治久安总目标。</w:t>
      </w:r>
    </w:p>
    <w:p w14:paraId="02F3589A">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67D0CFDD">
      <w:pPr>
        <w:bidi w:val="0"/>
        <w:rPr>
          <w:rFonts w:hint="eastAsia"/>
          <w:color w:val="auto"/>
          <w:highlight w:val="none"/>
        </w:rPr>
      </w:pPr>
      <w:r>
        <w:rPr>
          <w:rFonts w:hint="eastAsia"/>
          <w:color w:val="auto"/>
          <w:highlight w:val="none"/>
        </w:rPr>
        <w:t>③本项目按照绩效目标</w:t>
      </w:r>
      <w:r>
        <w:rPr>
          <w:rFonts w:hint="eastAsia"/>
          <w:color w:val="auto"/>
          <w:highlight w:val="none"/>
          <w:lang w:val="en-US" w:eastAsia="zh-CN"/>
        </w:rPr>
        <w:t>完成了各项产出指标和效益指标</w:t>
      </w:r>
      <w:r>
        <w:rPr>
          <w:rFonts w:hint="eastAsia"/>
          <w:color w:val="auto"/>
          <w:highlight w:val="none"/>
        </w:rPr>
        <w:t>，预期产出效益和效果符合正常的业绩水平。</w:t>
      </w:r>
    </w:p>
    <w:p w14:paraId="0B2CF7D0">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341</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341</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65FE8534">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5DF09D34">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）绩效指标明确性：</w:t>
      </w:r>
    </w:p>
    <w:p w14:paraId="3EA3F648">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36F8A473">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highlight w:val="none"/>
          <w:lang w:eastAsia="zh-CN"/>
        </w:rPr>
        <w:t>将项目绩效目标细化分解为具体的绩效指标</w:t>
      </w:r>
      <w:r>
        <w:rPr>
          <w:rFonts w:hint="eastAsia"/>
          <w:color w:val="auto"/>
          <w:highlight w:val="none"/>
          <w:lang w:eastAsia="zh-CN"/>
        </w:rPr>
        <w:t>，</w:t>
      </w:r>
      <w:r>
        <w:rPr>
          <w:rFonts w:hint="eastAsia"/>
          <w:color w:val="auto"/>
          <w:highlight w:val="none"/>
          <w:lang w:val="en-US" w:eastAsia="zh-CN"/>
        </w:rPr>
        <w:t>指标</w:t>
      </w:r>
      <w:r>
        <w:rPr>
          <w:rFonts w:hint="eastAsia"/>
          <w:color w:val="auto"/>
          <w:highlight w:val="none"/>
          <w:lang w:eastAsia="zh-CN"/>
        </w:rPr>
        <w:t>量化率达70%以上；</w:t>
      </w:r>
    </w:p>
    <w:p w14:paraId="52C10396">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highlight w:val="none"/>
          <w:lang w:eastAsia="zh-CN"/>
        </w:rPr>
        <w:t>通过清晰、可衡量的指标值予以体现，但数量指标和成本指标之间关联不足，根据评分要点，扣0.6分。改进措施：加强绩效管理相关学习，参照共性指标体系和相关要求做好绩效指标设置工作。</w:t>
      </w:r>
    </w:p>
    <w:p w14:paraId="09D9D9A2">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4B608086">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lang w:eastAsia="zh-CN"/>
        </w:rPr>
        <w:t>分。</w:t>
      </w:r>
    </w:p>
    <w:p w14:paraId="53E34F41">
      <w:pPr>
        <w:pStyle w:val="6"/>
        <w:bidi w:val="0"/>
        <w:rPr>
          <w:color w:val="auto"/>
          <w:highlight w:val="none"/>
        </w:rPr>
      </w:pPr>
      <w:r>
        <w:rPr>
          <w:rFonts w:hint="eastAsia"/>
          <w:color w:val="auto"/>
          <w:highlight w:val="none"/>
          <w:lang w:val="en-US" w:eastAsia="zh-CN"/>
        </w:rPr>
        <w:t>3.资金投入情况分析</w:t>
      </w:r>
    </w:p>
    <w:p w14:paraId="6543C4C1">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）预算编制科学性：</w:t>
      </w:r>
      <w:r>
        <w:rPr>
          <w:rFonts w:hint="eastAsia" w:ascii="仿宋_GB2312" w:cs="仿宋_GB2312"/>
          <w:sz w:val="28"/>
          <w:szCs w:val="28"/>
          <w:highlight w:val="none"/>
        </w:rPr>
        <w:t xml:space="preserve"> </w:t>
      </w:r>
    </w:p>
    <w:p w14:paraId="5B1E447B">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6065B8CF">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341</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基层综合业务</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1DCF367C">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34CE42AC">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本项目资金主要用于保障社区正常运转和建设。预算确定资金量与实际工作任务相</w:t>
      </w:r>
      <w:r>
        <w:rPr>
          <w:rFonts w:hint="eastAsia" w:ascii="仿宋_GB2312" w:cs="仿宋_GB2312"/>
          <w:color w:val="auto"/>
          <w:sz w:val="28"/>
          <w:szCs w:val="28"/>
          <w:highlight w:val="none"/>
        </w:rPr>
        <w:t>匹配。</w:t>
      </w:r>
    </w:p>
    <w:p w14:paraId="5AF2B1BA">
      <w:pPr>
        <w:pageBreakBefore w:val="0"/>
        <w:kinsoku/>
        <w:wordWrap/>
        <w:topLinePunct w:val="0"/>
        <w:autoSpaceDE/>
        <w:autoSpaceDN/>
        <w:bidi w:val="0"/>
        <w:spacing w:line="560" w:lineRule="exact"/>
        <w:ind w:right="0" w:rightChars="0" w:firstLine="643"/>
        <w:rPr>
          <w:rFonts w:ascii="仿宋_GB2312" w:cs="仿宋_GB2312"/>
          <w:color w:val="FF0000"/>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4分</w:t>
      </w:r>
      <w:r>
        <w:rPr>
          <w:rFonts w:hint="eastAsia" w:ascii="仿宋_GB2312" w:cs="仿宋_GB2312"/>
          <w:color w:val="auto"/>
          <w:sz w:val="28"/>
          <w:szCs w:val="28"/>
          <w:highlight w:val="none"/>
          <w:lang w:eastAsia="zh-CN"/>
        </w:rPr>
        <w:t>。</w:t>
      </w:r>
    </w:p>
    <w:p w14:paraId="4F52B48B">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）资金分配合理性：</w:t>
      </w:r>
    </w:p>
    <w:p w14:paraId="43AB828B">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2023年工作计划和预算批复文件</w:t>
      </w:r>
      <w:r>
        <w:rPr>
          <w:rFonts w:hint="eastAsia" w:ascii="仿宋_GB2312" w:cs="仿宋_GB2312"/>
          <w:color w:val="auto"/>
          <w:sz w:val="28"/>
          <w:szCs w:val="28"/>
          <w:highlight w:val="none"/>
        </w:rPr>
        <w:t>为依据进行资金分配，预</w:t>
      </w:r>
      <w:r>
        <w:rPr>
          <w:rFonts w:hint="eastAsia" w:ascii="仿宋_GB2312" w:hAnsi="Times New Roman" w:cs="仿宋_GB2312"/>
          <w:color w:val="auto"/>
          <w:sz w:val="28"/>
          <w:szCs w:val="28"/>
          <w:highlight w:val="none"/>
        </w:rPr>
        <w:t>算资金分配依据充分</w:t>
      </w:r>
      <w:r>
        <w:rPr>
          <w:rFonts w:hint="eastAsia" w:ascii="仿宋_GB2312" w:hAnsi="Times New Roman" w:cs="仿宋_GB2312"/>
          <w:color w:val="auto"/>
          <w:sz w:val="28"/>
          <w:szCs w:val="28"/>
          <w:highlight w:val="none"/>
          <w:lang w:eastAsia="zh-CN"/>
        </w:rPr>
        <w:t>。</w:t>
      </w:r>
    </w:p>
    <w:p w14:paraId="31EAFB56">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341</w:t>
      </w:r>
      <w:r>
        <w:rPr>
          <w:rFonts w:hint="eastAsia" w:ascii="仿宋_GB2312" w:hAnsi="Times New Roman" w:cs="仿宋_GB2312"/>
          <w:color w:val="auto"/>
          <w:sz w:val="28"/>
          <w:szCs w:val="28"/>
          <w:highlight w:val="none"/>
        </w:rPr>
        <w:t>万元，实际</w:t>
      </w:r>
      <w:r>
        <w:rPr>
          <w:rFonts w:hint="eastAsia" w:ascii="仿宋_GB2312" w:cs="仿宋_GB2312"/>
          <w:color w:val="auto"/>
          <w:sz w:val="28"/>
          <w:szCs w:val="28"/>
          <w:highlight w:val="none"/>
          <w:lang w:eastAsia="zh-CN"/>
        </w:rPr>
        <w:t>批复的资金</w:t>
      </w:r>
      <w:r>
        <w:rPr>
          <w:rFonts w:hint="eastAsia" w:ascii="仿宋_GB2312" w:hAnsi="Times New Roman" w:cs="仿宋_GB2312"/>
          <w:color w:val="auto"/>
          <w:sz w:val="28"/>
          <w:szCs w:val="28"/>
          <w:highlight w:val="none"/>
        </w:rPr>
        <w:t>与我单位提交申请的资金额度一致，</w:t>
      </w:r>
      <w:r>
        <w:rPr>
          <w:rFonts w:hint="eastAsia" w:ascii="仿宋_GB2312" w:cs="仿宋_GB2312"/>
          <w:color w:val="auto"/>
          <w:sz w:val="28"/>
          <w:szCs w:val="28"/>
          <w:highlight w:val="none"/>
          <w:lang w:eastAsia="zh-CN"/>
        </w:rPr>
        <w:t>但</w:t>
      </w:r>
      <w:r>
        <w:rPr>
          <w:rFonts w:hint="eastAsia" w:ascii="仿宋_GB2312" w:hAnsi="Times New Roman" w:cs="仿宋_GB2312"/>
          <w:color w:val="auto"/>
          <w:sz w:val="28"/>
          <w:szCs w:val="28"/>
          <w:highlight w:val="none"/>
        </w:rPr>
        <w:t>资金分配额度</w:t>
      </w:r>
      <w:r>
        <w:rPr>
          <w:rFonts w:hint="eastAsia" w:ascii="仿宋_GB2312" w:cs="仿宋_GB2312"/>
          <w:color w:val="auto"/>
          <w:sz w:val="28"/>
          <w:szCs w:val="28"/>
          <w:highlight w:val="none"/>
          <w:lang w:eastAsia="zh-CN"/>
        </w:rPr>
        <w:t>不够</w:t>
      </w:r>
      <w:r>
        <w:rPr>
          <w:rFonts w:hint="eastAsia" w:ascii="仿宋_GB2312" w:hAnsi="Times New Roman" w:cs="仿宋_GB2312"/>
          <w:color w:val="auto"/>
          <w:sz w:val="28"/>
          <w:szCs w:val="28"/>
          <w:highlight w:val="none"/>
        </w:rPr>
        <w:t>合理，</w:t>
      </w:r>
      <w:r>
        <w:rPr>
          <w:rFonts w:hint="eastAsia" w:ascii="仿宋_GB2312" w:cs="仿宋_GB2312"/>
          <w:color w:val="auto"/>
          <w:sz w:val="28"/>
          <w:szCs w:val="28"/>
          <w:highlight w:val="none"/>
          <w:lang w:eastAsia="zh-CN"/>
        </w:rPr>
        <w:t>项目实施过程中，根据单位实际情况对资金进行了统筹使用，年初的资金分配方案</w:t>
      </w:r>
      <w:r>
        <w:rPr>
          <w:rFonts w:hint="eastAsia" w:ascii="仿宋_GB2312" w:hAnsi="Times New Roman" w:cs="仿宋_GB2312"/>
          <w:color w:val="auto"/>
          <w:sz w:val="28"/>
          <w:szCs w:val="28"/>
          <w:highlight w:val="none"/>
        </w:rPr>
        <w:t>与我单位实际需求</w:t>
      </w:r>
      <w:r>
        <w:rPr>
          <w:rFonts w:hint="eastAsia" w:ascii="仿宋_GB2312" w:cs="仿宋_GB2312"/>
          <w:color w:val="auto"/>
          <w:sz w:val="28"/>
          <w:szCs w:val="28"/>
          <w:highlight w:val="none"/>
          <w:lang w:eastAsia="zh-CN"/>
        </w:rPr>
        <w:t>不</w:t>
      </w:r>
      <w:r>
        <w:rPr>
          <w:rFonts w:hint="eastAsia" w:ascii="仿宋_GB2312" w:hAnsi="Times New Roman" w:cs="仿宋_GB2312"/>
          <w:color w:val="auto"/>
          <w:sz w:val="28"/>
          <w:szCs w:val="28"/>
          <w:highlight w:val="none"/>
        </w:rPr>
        <w:t>相适应</w:t>
      </w:r>
      <w:r>
        <w:rPr>
          <w:rFonts w:hint="eastAsia" w:ascii="仿宋_GB2312" w:cs="仿宋_GB2312"/>
          <w:color w:val="auto"/>
          <w:sz w:val="28"/>
          <w:szCs w:val="28"/>
          <w:highlight w:val="none"/>
          <w:lang w:eastAsia="zh-CN"/>
        </w:rPr>
        <w:t>，根据评分要点，该指标扣</w:t>
      </w:r>
      <w:r>
        <w:rPr>
          <w:rFonts w:hint="eastAsia" w:ascii="仿宋_GB2312" w:cs="仿宋_GB2312"/>
          <w:color w:val="auto"/>
          <w:sz w:val="28"/>
          <w:szCs w:val="28"/>
          <w:highlight w:val="none"/>
          <w:lang w:val="en-US" w:eastAsia="zh-CN"/>
        </w:rPr>
        <w:t>1分</w:t>
      </w:r>
      <w:r>
        <w:rPr>
          <w:rFonts w:hint="eastAsia" w:ascii="仿宋_GB2312" w:hAnsi="Times New Roman" w:cs="仿宋_GB2312"/>
          <w:color w:val="auto"/>
          <w:sz w:val="28"/>
          <w:szCs w:val="28"/>
          <w:highlight w:val="none"/>
          <w:lang w:eastAsia="zh-CN"/>
        </w:rPr>
        <w:t>。</w:t>
      </w:r>
      <w:r>
        <w:rPr>
          <w:rFonts w:hint="eastAsia" w:ascii="仿宋_GB2312" w:cs="仿宋_GB2312"/>
          <w:color w:val="auto"/>
          <w:sz w:val="28"/>
          <w:szCs w:val="28"/>
          <w:highlight w:val="none"/>
          <w:lang w:eastAsia="zh-CN"/>
        </w:rPr>
        <w:t>改进措施：由单位绩效牵头部门组织相关科室填报绩效目标表，严格内部审核程序，确保测算目标符合单位实际情况，提高准确率。</w:t>
      </w:r>
    </w:p>
    <w:p w14:paraId="455F41EE">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综上所述，本指标满分为</w:t>
      </w:r>
      <w:r>
        <w:rPr>
          <w:rFonts w:hint="eastAsia" w:ascii="仿宋_GB2312" w:hAnsi="Times New Roman" w:cs="仿宋_GB2312"/>
          <w:color w:val="auto"/>
          <w:sz w:val="28"/>
          <w:szCs w:val="28"/>
          <w:highlight w:val="none"/>
          <w:lang w:val="en-US" w:eastAsia="zh-CN"/>
        </w:rPr>
        <w:t>2</w:t>
      </w:r>
      <w:r>
        <w:rPr>
          <w:rFonts w:hint="eastAsia" w:ascii="仿宋_GB2312" w:hAnsi="Times New Roman" w:cs="仿宋_GB2312"/>
          <w:color w:val="auto"/>
          <w:sz w:val="28"/>
          <w:szCs w:val="28"/>
          <w:highlight w:val="none"/>
        </w:rPr>
        <w:t>分，根据评分标准得</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rPr>
        <w:t>分。</w:t>
      </w:r>
    </w:p>
    <w:p w14:paraId="0E798FB5">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（二）项目过程情况</w:t>
      </w:r>
    </w:p>
    <w:p w14:paraId="3EC6408B">
      <w:pPr>
        <w:bidi w:val="0"/>
        <w:rPr>
          <w:rFonts w:hint="eastAsia" w:ascii="仿宋_GB2312" w:cs="仿宋_GB2312"/>
          <w:color w:val="FF0000"/>
          <w:sz w:val="28"/>
          <w:szCs w:val="28"/>
          <w:highlight w:val="none"/>
        </w:rPr>
      </w:pPr>
      <w:r>
        <w:rPr>
          <w:rFonts w:hint="eastAsia" w:ascii="仿宋_GB2312" w:cs="仿宋_GB2312"/>
          <w:sz w:val="28"/>
          <w:szCs w:val="28"/>
          <w:highlight w:val="none"/>
        </w:rPr>
        <w:t>项目过程类指标包括资金管理和组织实施两方面的内容，由</w:t>
      </w:r>
      <w:r>
        <w:rPr>
          <w:rFonts w:hint="eastAsia"/>
          <w:highlight w:val="none"/>
          <w:lang w:eastAsia="zh-CN"/>
        </w:rPr>
        <w:t>2个二级指标和5个三级指标构成</w:t>
      </w:r>
      <w:r>
        <w:rPr>
          <w:rFonts w:hint="eastAsia" w:ascii="仿宋_GB2312" w:cs="仿宋_GB2312"/>
          <w:sz w:val="28"/>
          <w:szCs w:val="28"/>
          <w:highlight w:val="none"/>
        </w:rPr>
        <w:t>，权重分为</w:t>
      </w:r>
      <w:r>
        <w:rPr>
          <w:rFonts w:hint="eastAsia" w:ascii="仿宋_GB2312" w:cs="仿宋_GB2312"/>
          <w:sz w:val="28"/>
          <w:szCs w:val="28"/>
          <w:highlight w:val="none"/>
          <w:lang w:val="en-US" w:eastAsia="zh-CN"/>
        </w:rPr>
        <w:t>20</w:t>
      </w:r>
      <w:r>
        <w:rPr>
          <w:rFonts w:hint="eastAsia" w:ascii="仿宋_GB2312" w:cs="仿宋_GB2312"/>
          <w:sz w:val="28"/>
          <w:szCs w:val="28"/>
          <w:highlight w:val="none"/>
        </w:rPr>
        <w:t>分，实</w:t>
      </w:r>
      <w:r>
        <w:rPr>
          <w:rFonts w:hint="eastAsia" w:ascii="仿宋_GB2312" w:cs="仿宋_GB2312"/>
          <w:color w:val="auto"/>
          <w:sz w:val="28"/>
          <w:szCs w:val="28"/>
          <w:highlight w:val="none"/>
        </w:rPr>
        <w:t>际得分</w:t>
      </w:r>
      <w:r>
        <w:rPr>
          <w:rFonts w:hint="eastAsia" w:ascii="仿宋_GB2312" w:cs="仿宋_GB2312"/>
          <w:color w:val="auto"/>
          <w:sz w:val="28"/>
          <w:szCs w:val="28"/>
          <w:highlight w:val="none"/>
          <w:lang w:val="en-US" w:eastAsia="zh-CN"/>
        </w:rPr>
        <w:t>19.77</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98.87</w:t>
      </w:r>
      <w:r>
        <w:rPr>
          <w:rFonts w:hint="eastAsia" w:ascii="仿宋_GB2312" w:cs="仿宋_GB2312"/>
          <w:color w:val="auto"/>
          <w:sz w:val="28"/>
          <w:szCs w:val="28"/>
          <w:highlight w:val="none"/>
        </w:rPr>
        <w:t>%。</w:t>
      </w:r>
    </w:p>
    <w:p w14:paraId="4638FACB">
      <w:pPr>
        <w:pStyle w:val="6"/>
        <w:bidi w:val="0"/>
        <w:rPr>
          <w:rFonts w:hint="eastAsia"/>
          <w:highlight w:val="none"/>
          <w:lang w:val="en-US" w:eastAsia="zh-CN"/>
        </w:rPr>
      </w:pPr>
      <w:r>
        <w:rPr>
          <w:rFonts w:hint="eastAsia"/>
          <w:highlight w:val="none"/>
          <w:lang w:val="en-US" w:eastAsia="zh-CN"/>
        </w:rPr>
        <w:t>1.资金管理情况分析</w:t>
      </w:r>
    </w:p>
    <w:p w14:paraId="27D5DF2A">
      <w:pPr>
        <w:bidi w:val="0"/>
        <w:rPr>
          <w:rFonts w:hint="eastAsia"/>
          <w:b/>
          <w:bCs/>
          <w:highlight w:val="none"/>
        </w:rPr>
      </w:pPr>
      <w:r>
        <w:rPr>
          <w:rFonts w:hint="eastAsia"/>
          <w:b/>
          <w:bCs/>
          <w:highlight w:val="none"/>
        </w:rPr>
        <w:t>（1）资金到位率：</w:t>
      </w:r>
    </w:p>
    <w:p w14:paraId="72353992">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341</w:t>
      </w:r>
      <w:r>
        <w:rPr>
          <w:rFonts w:hint="eastAsia"/>
          <w:color w:val="auto"/>
          <w:highlight w:val="none"/>
        </w:rPr>
        <w:t>万元，实际到位资金</w:t>
      </w:r>
      <w:r>
        <w:rPr>
          <w:rFonts w:hint="eastAsia" w:ascii="仿宋_GB2312" w:cs="仿宋_GB2312"/>
          <w:color w:val="auto"/>
          <w:sz w:val="28"/>
          <w:szCs w:val="28"/>
          <w:highlight w:val="none"/>
          <w:lang w:val="en-US" w:eastAsia="zh-CN"/>
        </w:rPr>
        <w:t>341</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580FAA7F">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624F4C6E">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（2）预算执行率：</w:t>
      </w:r>
    </w:p>
    <w:p w14:paraId="645D2DF6">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341</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321.65</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321.65</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341</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94.33</w:t>
      </w:r>
      <w:r>
        <w:rPr>
          <w:rFonts w:hint="eastAsia" w:ascii="仿宋_GB2312" w:cs="仿宋_GB2312"/>
          <w:color w:val="auto"/>
          <w:sz w:val="28"/>
          <w:szCs w:val="28"/>
          <w:highlight w:val="none"/>
        </w:rPr>
        <w:t>%。</w:t>
      </w:r>
    </w:p>
    <w:p w14:paraId="0E8399CF">
      <w:pPr>
        <w:bidi w:val="0"/>
        <w:rPr>
          <w:rFonts w:hint="eastAsia" w:ascii="Times New Roman" w:hAnsi="Times New Roman"/>
          <w:color w:val="FF0000"/>
          <w:sz w:val="28"/>
          <w:szCs w:val="28"/>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3.77</w:t>
      </w:r>
      <w:r>
        <w:rPr>
          <w:rFonts w:hint="eastAsia"/>
          <w:color w:val="auto"/>
          <w:highlight w:val="none"/>
        </w:rPr>
        <w:t>分,根据评分要点，扣0.23分</w:t>
      </w:r>
      <w:r>
        <w:rPr>
          <w:rFonts w:hint="eastAsia"/>
          <w:color w:val="auto"/>
          <w:highlight w:val="none"/>
          <w:lang w:eastAsia="zh-CN"/>
        </w:rPr>
        <w:t>，</w:t>
      </w:r>
      <w:r>
        <w:rPr>
          <w:rFonts w:hint="eastAsia"/>
          <w:color w:val="auto"/>
          <w:highlight w:val="none"/>
        </w:rPr>
        <w:t>本项目</w:t>
      </w:r>
      <w:r>
        <w:rPr>
          <w:rFonts w:hint="eastAsia"/>
          <w:color w:val="auto"/>
          <w:highlight w:val="none"/>
          <w:lang w:eastAsia="zh-CN"/>
        </w:rPr>
        <w:t>预算执行</w:t>
      </w:r>
      <w:r>
        <w:rPr>
          <w:rFonts w:hint="eastAsia"/>
          <w:color w:val="auto"/>
          <w:highlight w:val="none"/>
        </w:rPr>
        <w:t>率为</w:t>
      </w:r>
      <w:r>
        <w:rPr>
          <w:rFonts w:hint="eastAsia"/>
          <w:color w:val="auto"/>
          <w:highlight w:val="none"/>
          <w:lang w:val="en-US" w:eastAsia="zh-CN"/>
        </w:rPr>
        <w:t>94.33</w:t>
      </w:r>
      <w:r>
        <w:rPr>
          <w:rFonts w:hint="eastAsia"/>
          <w:color w:val="auto"/>
          <w:highlight w:val="none"/>
        </w:rPr>
        <w:t>%</w:t>
      </w:r>
      <w:r>
        <w:rPr>
          <w:rFonts w:hint="eastAsia"/>
          <w:color w:val="auto"/>
          <w:highlight w:val="none"/>
          <w:lang w:eastAsia="zh-CN"/>
        </w:rPr>
        <w:t>。</w:t>
      </w:r>
    </w:p>
    <w:p w14:paraId="6128C7FE">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（3）资金使用合规性：</w:t>
      </w:r>
    </w:p>
    <w:p w14:paraId="31FC4279">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托克逊县托克逊镇人民政府</w:t>
      </w:r>
      <w:r>
        <w:rPr>
          <w:rFonts w:hint="eastAsia"/>
          <w:color w:val="auto"/>
          <w:highlight w:val="none"/>
        </w:rPr>
        <w:t>资金管理办法》，资金的拨付有完整的审批程序和手续，资金实际使用方向与预算批复用途一致，不存在截留、挤占、挪用、虚列支出的情况。</w:t>
      </w:r>
    </w:p>
    <w:p w14:paraId="2E74B5F7">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306DE229">
      <w:pPr>
        <w:pStyle w:val="6"/>
        <w:bidi w:val="0"/>
        <w:rPr>
          <w:rFonts w:hint="eastAsia"/>
          <w:highlight w:val="none"/>
          <w:lang w:val="en-US" w:eastAsia="zh-CN"/>
        </w:rPr>
      </w:pPr>
      <w:r>
        <w:rPr>
          <w:rFonts w:hint="eastAsia"/>
          <w:highlight w:val="none"/>
          <w:lang w:val="en-US" w:eastAsia="zh-CN"/>
        </w:rPr>
        <w:t>2.组织实施情况分析</w:t>
      </w:r>
    </w:p>
    <w:p w14:paraId="1115950A">
      <w:pPr>
        <w:bidi w:val="0"/>
        <w:rPr>
          <w:rFonts w:hint="eastAsia" w:ascii="仿宋_GB2312" w:cs="仿宋_GB2312"/>
          <w:b/>
          <w:bCs/>
          <w:sz w:val="28"/>
          <w:szCs w:val="28"/>
          <w:highlight w:val="none"/>
        </w:rPr>
      </w:pPr>
      <w:r>
        <w:rPr>
          <w:rFonts w:hint="eastAsia" w:ascii="仿宋_GB2312" w:cs="仿宋_GB2312"/>
          <w:sz w:val="28"/>
          <w:szCs w:val="28"/>
          <w:highlight w:val="none"/>
        </w:rPr>
        <w:t>（</w:t>
      </w:r>
      <w:r>
        <w:rPr>
          <w:rFonts w:hint="eastAsia" w:ascii="仿宋_GB2312" w:cs="仿宋_GB2312"/>
          <w:b/>
          <w:bCs/>
          <w:sz w:val="28"/>
          <w:szCs w:val="28"/>
          <w:highlight w:val="none"/>
        </w:rPr>
        <w:t>4）管理制度健全性：</w:t>
      </w:r>
    </w:p>
    <w:p w14:paraId="6738EF6F">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val="en-US" w:eastAsia="zh-CN"/>
        </w:rPr>
        <w:t>托克逊县托克逊镇人民政府</w:t>
      </w:r>
      <w:r>
        <w:rPr>
          <w:rFonts w:hint="eastAsia"/>
          <w:color w:val="auto"/>
          <w:highlight w:val="none"/>
        </w:rPr>
        <w:t>采购业务管理制度》《</w:t>
      </w:r>
      <w:r>
        <w:rPr>
          <w:rFonts w:hint="eastAsia"/>
          <w:color w:val="auto"/>
          <w:highlight w:val="none"/>
          <w:lang w:val="en-US" w:eastAsia="zh-CN"/>
        </w:rPr>
        <w:t>托克逊县托克逊镇人民政府</w:t>
      </w:r>
      <w:r>
        <w:rPr>
          <w:rFonts w:hint="eastAsia"/>
          <w:color w:val="auto"/>
          <w:highlight w:val="none"/>
        </w:rPr>
        <w:t>合同管理制度》等，上述已建立的制度均符合行政事业单位内控管理要求，财务和业务管理制度合法、合规、完整，本项目执行符合上述制度规定。</w:t>
      </w:r>
    </w:p>
    <w:p w14:paraId="483D53B3">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14269EAE">
      <w:pPr>
        <w:bidi w:val="0"/>
        <w:rPr>
          <w:rFonts w:hint="eastAsia" w:ascii="仿宋_GB2312" w:cs="仿宋_GB2312"/>
          <w:sz w:val="28"/>
          <w:szCs w:val="28"/>
          <w:highlight w:val="none"/>
        </w:rPr>
      </w:pPr>
      <w:r>
        <w:rPr>
          <w:rFonts w:hint="eastAsia" w:ascii="仿宋_GB2312" w:cs="仿宋_GB2312"/>
          <w:b/>
          <w:bCs/>
          <w:sz w:val="28"/>
          <w:szCs w:val="28"/>
          <w:highlight w:val="none"/>
        </w:rPr>
        <w:t>（5）制度执行有效性</w:t>
      </w:r>
      <w:r>
        <w:rPr>
          <w:rFonts w:hint="eastAsia" w:ascii="仿宋_GB2312" w:cs="仿宋_GB2312"/>
          <w:sz w:val="28"/>
          <w:szCs w:val="28"/>
          <w:highlight w:val="none"/>
        </w:rPr>
        <w:t>：</w:t>
      </w:r>
    </w:p>
    <w:p w14:paraId="74FD695E">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val="en-US" w:eastAsia="zh-CN"/>
        </w:rPr>
        <w:t>托克逊县托克逊镇人民政府</w:t>
      </w:r>
      <w:r>
        <w:rPr>
          <w:rFonts w:hint="eastAsia"/>
          <w:color w:val="auto"/>
          <w:highlight w:val="none"/>
        </w:rPr>
        <w:t>采购业务管理制度》《</w:t>
      </w:r>
      <w:r>
        <w:rPr>
          <w:rFonts w:hint="eastAsia"/>
          <w:color w:val="auto"/>
          <w:highlight w:val="none"/>
          <w:lang w:val="en-US" w:eastAsia="zh-CN"/>
        </w:rPr>
        <w:t>托克逊县托克逊镇人民政府</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2BF27EA6">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4102054A">
      <w:pPr>
        <w:bidi w:val="0"/>
        <w:rPr>
          <w:rFonts w:hint="eastAsia"/>
          <w:color w:val="auto"/>
          <w:highlight w:val="none"/>
          <w:lang w:eastAsia="zh-CN"/>
        </w:rPr>
      </w:pPr>
      <w:r>
        <w:rPr>
          <w:rFonts w:hint="eastAsia"/>
          <w:color w:val="auto"/>
          <w:highlight w:val="none"/>
          <w:lang w:eastAsia="zh-CN"/>
        </w:rPr>
        <w:t>③本项目不存在调整。</w:t>
      </w:r>
    </w:p>
    <w:p w14:paraId="67B995F2">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3C1DA6DD">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10AAF00E">
      <w:pPr>
        <w:pStyle w:val="6"/>
        <w:bidi w:val="0"/>
        <w:rPr>
          <w:rFonts w:hint="eastAsia" w:ascii="仿宋_GB2312" w:hAnsi="仿宋_GB2312" w:cs="仿宋_GB2312"/>
          <w:sz w:val="32"/>
          <w:highlight w:val="none"/>
        </w:rPr>
      </w:pPr>
      <w:r>
        <w:rPr>
          <w:rFonts w:hint="eastAsia" w:ascii="仿宋_GB2312" w:hAnsi="仿宋_GB2312" w:cs="仿宋_GB2312"/>
          <w:sz w:val="32"/>
          <w:highlight w:val="none"/>
        </w:rPr>
        <w:t>（三）项目产出情况</w:t>
      </w:r>
    </w:p>
    <w:p w14:paraId="5CF16868">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724A8910">
      <w:pPr>
        <w:pStyle w:val="6"/>
        <w:bidi w:val="0"/>
        <w:rPr>
          <w:rFonts w:hint="eastAsia"/>
          <w:highlight w:val="none"/>
          <w:lang w:val="en-US" w:eastAsia="zh-CN"/>
        </w:rPr>
      </w:pPr>
      <w:r>
        <w:rPr>
          <w:rFonts w:hint="eastAsia"/>
          <w:highlight w:val="none"/>
          <w:lang w:val="en-US" w:eastAsia="zh-CN"/>
        </w:rPr>
        <w:t>1.数量指标完成情况分析</w:t>
      </w:r>
    </w:p>
    <w:p w14:paraId="463836FB">
      <w:pPr>
        <w:bidi w:val="0"/>
        <w:rPr>
          <w:rFonts w:hint="eastAsia"/>
          <w:color w:val="auto"/>
          <w:highlight w:val="none"/>
          <w:lang w:val="en-US" w:eastAsia="zh-CN"/>
        </w:rPr>
      </w:pPr>
      <w:r>
        <w:rPr>
          <w:rFonts w:hint="eastAsia"/>
          <w:color w:val="auto"/>
          <w:highlight w:val="none"/>
          <w:lang w:val="en-US" w:eastAsia="zh-CN"/>
        </w:rPr>
        <w:t>“保障社区正常运转数”指标：预期指标值为10个，实际完成指标值为10个，指标完成率为100%。本指标满分为3.6分，根据评分标准，该指标得3.6分。</w:t>
      </w:r>
    </w:p>
    <w:p w14:paraId="0D72FCD7">
      <w:pPr>
        <w:rPr>
          <w:rFonts w:hint="eastAsia"/>
          <w:highlight w:val="none"/>
          <w:lang w:val="en-US" w:eastAsia="zh-CN"/>
        </w:rPr>
      </w:pP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便民服务巡逻车（安全保障）</w:t>
      </w:r>
      <w:r>
        <w:rPr>
          <w:rFonts w:hint="eastAsia" w:ascii="仿宋_GB2312" w:hAnsi="仿宋_GB2312" w:cs="仿宋_GB2312"/>
          <w:b w:val="0"/>
          <w:bCs w:val="0"/>
          <w:color w:val="auto"/>
          <w:sz w:val="28"/>
          <w:szCs w:val="28"/>
          <w:highlight w:val="none"/>
        </w:rPr>
        <w:t>”指标：预期指标值</w:t>
      </w:r>
      <w:r>
        <w:rPr>
          <w:rFonts w:hint="eastAsia" w:ascii="仿宋_GB2312" w:hAnsi="仿宋_GB2312" w:cs="仿宋_GB2312"/>
          <w:b w:val="0"/>
          <w:bCs w:val="0"/>
          <w:color w:val="auto"/>
          <w:sz w:val="28"/>
          <w:szCs w:val="28"/>
          <w:highlight w:val="none"/>
          <w:lang w:eastAsia="zh-CN"/>
        </w:rPr>
        <w:t>为</w:t>
      </w:r>
      <w:r>
        <w:rPr>
          <w:rFonts w:hint="eastAsia" w:ascii="仿宋_GB2312" w:hAnsi="仿宋_GB2312" w:cs="仿宋_GB2312"/>
          <w:b w:val="0"/>
          <w:bCs w:val="0"/>
          <w:color w:val="auto"/>
          <w:sz w:val="28"/>
          <w:szCs w:val="28"/>
          <w:highlight w:val="none"/>
          <w:lang w:val="en-US" w:eastAsia="zh-CN"/>
        </w:rPr>
        <w:t>10辆</w:t>
      </w:r>
      <w:r>
        <w:rPr>
          <w:rFonts w:hint="eastAsia" w:ascii="仿宋_GB2312" w:hAnsi="仿宋_GB2312" w:cs="仿宋_GB2312"/>
          <w:b w:val="0"/>
          <w:bCs w:val="0"/>
          <w:color w:val="auto"/>
          <w:sz w:val="28"/>
          <w:szCs w:val="28"/>
          <w:highlight w:val="none"/>
        </w:rPr>
        <w:t>，实际完成指标值</w:t>
      </w:r>
      <w:r>
        <w:rPr>
          <w:rFonts w:hint="eastAsia" w:ascii="仿宋_GB2312" w:hAnsi="仿宋_GB2312" w:cs="仿宋_GB2312"/>
          <w:b w:val="0"/>
          <w:bCs w:val="0"/>
          <w:color w:val="auto"/>
          <w:sz w:val="28"/>
          <w:szCs w:val="28"/>
          <w:highlight w:val="none"/>
          <w:lang w:eastAsia="zh-CN"/>
        </w:rPr>
        <w:t>为</w:t>
      </w:r>
      <w:r>
        <w:rPr>
          <w:rFonts w:hint="eastAsia" w:ascii="仿宋_GB2312" w:hAnsi="仿宋_GB2312" w:cs="仿宋_GB2312"/>
          <w:b w:val="0"/>
          <w:bCs w:val="0"/>
          <w:color w:val="auto"/>
          <w:sz w:val="28"/>
          <w:szCs w:val="28"/>
          <w:highlight w:val="none"/>
          <w:lang w:val="en-US" w:eastAsia="zh-CN"/>
        </w:rPr>
        <w:t>10辆</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100%。</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3.</w:t>
      </w:r>
      <w:r>
        <w:rPr>
          <w:rFonts w:hint="eastAsia" w:hAnsi="仿宋_GB2312" w:cs="仿宋_GB2312"/>
          <w:b w:val="0"/>
          <w:bCs w:val="0"/>
          <w:color w:val="auto"/>
          <w:sz w:val="28"/>
          <w:szCs w:val="28"/>
          <w:highlight w:val="none"/>
          <w:lang w:val="en-US" w:eastAsia="zh-CN"/>
        </w:rPr>
        <w:t>6</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3.</w:t>
      </w:r>
      <w:r>
        <w:rPr>
          <w:rFonts w:hint="eastAsia" w:hAnsi="仿宋_GB2312" w:cs="仿宋_GB2312"/>
          <w:b w:val="0"/>
          <w:bCs w:val="0"/>
          <w:color w:val="auto"/>
          <w:sz w:val="28"/>
          <w:szCs w:val="28"/>
          <w:highlight w:val="none"/>
          <w:lang w:val="en-US" w:eastAsia="zh-CN"/>
        </w:rPr>
        <w:t>6</w:t>
      </w:r>
      <w:r>
        <w:rPr>
          <w:rFonts w:hint="eastAsia" w:ascii="仿宋_GB2312" w:hAnsi="仿宋_GB2312" w:cs="仿宋_GB2312"/>
          <w:b w:val="0"/>
          <w:bCs w:val="0"/>
          <w:color w:val="auto"/>
          <w:sz w:val="28"/>
          <w:szCs w:val="28"/>
          <w:highlight w:val="none"/>
        </w:rPr>
        <w:t>分。</w:t>
      </w:r>
    </w:p>
    <w:p w14:paraId="43C4CD44">
      <w:pPr>
        <w:pStyle w:val="6"/>
        <w:bidi w:val="0"/>
        <w:rPr>
          <w:rFonts w:hint="eastAsia"/>
          <w:highlight w:val="none"/>
          <w:lang w:val="en-US" w:eastAsia="zh-CN"/>
        </w:rPr>
      </w:pPr>
      <w:r>
        <w:rPr>
          <w:rFonts w:hint="eastAsia"/>
          <w:highlight w:val="none"/>
          <w:lang w:val="en-US" w:eastAsia="zh-CN"/>
        </w:rPr>
        <w:t>2.质量指标完成情况分析</w:t>
      </w:r>
    </w:p>
    <w:p w14:paraId="0FE6F89F">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资金管理规范使用率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5803A1CD">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采购设备质量合格率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499C0F7B">
      <w:pPr>
        <w:pStyle w:val="2"/>
        <w:rPr>
          <w:rFonts w:hint="default" w:eastAsia="仿宋_GB2312"/>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政府采购率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3.</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3.</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0F70E157">
      <w:pPr>
        <w:pStyle w:val="6"/>
        <w:bidi w:val="0"/>
        <w:rPr>
          <w:rFonts w:hint="eastAsia"/>
          <w:highlight w:val="none"/>
        </w:rPr>
      </w:pPr>
      <w:r>
        <w:rPr>
          <w:rFonts w:hint="eastAsia"/>
          <w:highlight w:val="none"/>
          <w:lang w:val="en-US" w:eastAsia="zh-CN"/>
        </w:rPr>
        <w:t>3.时效指标完成情况分析</w:t>
      </w:r>
    </w:p>
    <w:p w14:paraId="259A3E72">
      <w:pPr>
        <w:pStyle w:val="6"/>
        <w:bidi w:val="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资金及时拨付率</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eastAsia="zh-CN"/>
        </w:rPr>
        <w:t>大于等于</w:t>
      </w:r>
      <w:r>
        <w:rPr>
          <w:rFonts w:hint="eastAsia" w:cs="仿宋_GB2312"/>
          <w:b w:val="0"/>
          <w:bCs w:val="0"/>
          <w:color w:val="auto"/>
          <w:sz w:val="28"/>
          <w:szCs w:val="28"/>
          <w:highlight w:val="none"/>
          <w:lang w:val="en-US" w:eastAsia="zh-CN"/>
        </w:rPr>
        <w:t>95</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100%。</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3</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3</w:t>
      </w:r>
      <w:r>
        <w:rPr>
          <w:rFonts w:hint="eastAsia" w:ascii="仿宋_GB2312" w:hAnsi="仿宋_GB2312" w:cs="仿宋_GB2312"/>
          <w:b w:val="0"/>
          <w:bCs w:val="0"/>
          <w:color w:val="auto"/>
          <w:sz w:val="28"/>
          <w:szCs w:val="28"/>
          <w:highlight w:val="none"/>
        </w:rPr>
        <w:t>分。</w:t>
      </w:r>
    </w:p>
    <w:p w14:paraId="10BDDE7E">
      <w:pPr>
        <w:rPr>
          <w:rFonts w:hint="eastAsia"/>
          <w:highlight w:val="none"/>
        </w:rPr>
      </w:pP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项目及时完成率</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lang w:val="en-US" w:eastAsia="zh-CN"/>
        </w:rPr>
        <w:t>%</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100%。</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3</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3</w:t>
      </w:r>
      <w:r>
        <w:rPr>
          <w:rFonts w:hint="eastAsia" w:ascii="仿宋_GB2312" w:hAnsi="仿宋_GB2312" w:cs="仿宋_GB2312"/>
          <w:b w:val="0"/>
          <w:bCs w:val="0"/>
          <w:color w:val="auto"/>
          <w:sz w:val="28"/>
          <w:szCs w:val="28"/>
          <w:highlight w:val="none"/>
        </w:rPr>
        <w:t>分。</w:t>
      </w:r>
    </w:p>
    <w:p w14:paraId="19EE255B">
      <w:pPr>
        <w:pStyle w:val="6"/>
        <w:numPr>
          <w:ilvl w:val="0"/>
          <w:numId w:val="0"/>
        </w:numPr>
        <w:bidi w:val="0"/>
        <w:ind w:firstLine="562" w:firstLineChars="200"/>
        <w:rPr>
          <w:rFonts w:hint="eastAsia"/>
          <w:highlight w:val="none"/>
          <w:lang w:val="en-US" w:eastAsia="zh-CN"/>
        </w:rPr>
      </w:pPr>
      <w:r>
        <w:rPr>
          <w:rFonts w:hint="eastAsia" w:cs="Times New Roman"/>
          <w:highlight w:val="none"/>
          <w:lang w:val="en-US" w:eastAsia="zh-CN"/>
        </w:rPr>
        <w:t>4.成本指标完成情况分析</w:t>
      </w:r>
    </w:p>
    <w:p w14:paraId="60222340">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用电费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rPr>
        <w:t>100万元，实际完成指标值为</w:t>
      </w:r>
      <w:r>
        <w:rPr>
          <w:rFonts w:hint="eastAsia" w:ascii="仿宋_GB2312" w:hAnsi="仿宋_GB2312" w:cs="仿宋_GB2312"/>
          <w:color w:val="auto"/>
          <w:sz w:val="28"/>
          <w:szCs w:val="28"/>
          <w:highlight w:val="none"/>
          <w:lang w:val="en-US" w:eastAsia="zh-CN"/>
        </w:rPr>
        <w:t>14</w:t>
      </w:r>
      <w:r>
        <w:rPr>
          <w:rFonts w:hint="eastAsia" w:ascii="仿宋_GB2312" w:hAnsi="仿宋_GB2312" w:cs="仿宋_GB2312"/>
          <w:color w:val="auto"/>
          <w:sz w:val="28"/>
          <w:szCs w:val="28"/>
          <w:highlight w:val="none"/>
        </w:rPr>
        <w:t>万元，指标完成率为</w:t>
      </w:r>
      <w:r>
        <w:rPr>
          <w:rFonts w:hint="eastAsia" w:ascii="仿宋_GB2312" w:hAnsi="仿宋_GB2312" w:cs="仿宋_GB2312"/>
          <w:color w:val="auto"/>
          <w:sz w:val="28"/>
          <w:szCs w:val="28"/>
          <w:highlight w:val="none"/>
          <w:lang w:val="en-US" w:eastAsia="zh-CN"/>
        </w:rPr>
        <w:t>14</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根据单位实际情况，资金统筹支出。改进措施：由单位绩效牵头部门组织相关科室填报绩效目标表，严格内部审核程序，确保测算目标符合单位实际情况，提高准确率。本指标满分为</w:t>
      </w:r>
      <w:r>
        <w:rPr>
          <w:rFonts w:hint="eastAsia" w:ascii="仿宋_GB2312" w:hAns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0.17</w:t>
      </w:r>
      <w:r>
        <w:rPr>
          <w:rFonts w:hint="eastAsia" w:ascii="仿宋_GB2312" w:hAnsi="仿宋_GB2312" w:cs="仿宋_GB2312"/>
          <w:color w:val="auto"/>
          <w:sz w:val="28"/>
          <w:szCs w:val="28"/>
          <w:highlight w:val="none"/>
        </w:rPr>
        <w:t>分。</w:t>
      </w:r>
    </w:p>
    <w:p w14:paraId="39A3B8B2">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通讯费及网费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小于等于15万元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4万元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26.67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0.32</w:t>
      </w:r>
      <w:r>
        <w:rPr>
          <w:rFonts w:hint="eastAsia" w:ascii="仿宋_GB2312" w:hAnsi="仿宋_GB2312" w:cs="仿宋_GB2312"/>
          <w:color w:val="auto"/>
          <w:sz w:val="28"/>
          <w:szCs w:val="28"/>
          <w:highlight w:val="none"/>
        </w:rPr>
        <w:t>分。</w:t>
      </w:r>
    </w:p>
    <w:p w14:paraId="1176E0FF">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水费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小于等于12万元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608CDE6A">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年平均巡逻车燃料费/辆</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小于等于1.20万元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1E67EAD8">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办公用品经费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小于等于50万元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30.06万元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60.12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0.72</w:t>
      </w:r>
      <w:r>
        <w:rPr>
          <w:rFonts w:hint="eastAsia" w:ascii="仿宋_GB2312" w:hAnsi="仿宋_GB2312" w:cs="仿宋_GB2312"/>
          <w:color w:val="auto"/>
          <w:sz w:val="28"/>
          <w:szCs w:val="28"/>
          <w:highlight w:val="none"/>
        </w:rPr>
        <w:t>分。</w:t>
      </w:r>
    </w:p>
    <w:p w14:paraId="3399E567">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转运车租赁费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小于等于3万元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hAns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5617328A">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雇工劳务费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小于等于10万元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2F353A03">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差旅费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小于等于2万元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hAns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55810091">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基建维修维护费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小于等于70万元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217.17万元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优先保障社区阵地基础设施正常运转，进行阵地设施的修缮改造。改进措施：由单位绩效牵头部门组织相关科室填报绩效目标表，严格内部审核程序，确保测算目标符合单位实际情况，提高准确率。本指标满分为</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1A7F3B8D">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印刷费</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小于等于35万元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53176112">
      <w:pPr>
        <w:pStyle w:val="2"/>
        <w:rPr>
          <w:rFonts w:hint="eastAsia"/>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其他商品和服务支出</w:t>
      </w:r>
      <w:r>
        <w:rPr>
          <w:rFonts w:hint="eastAsia" w:ascii="仿宋_GB2312" w:hAnsi="仿宋_GB2312" w:cs="仿宋_GB2312"/>
          <w:color w:val="auto"/>
          <w:sz w:val="28"/>
          <w:szCs w:val="28"/>
          <w:highlight w:val="none"/>
        </w:rPr>
        <w:t>”指标：预期指标值为</w:t>
      </w:r>
      <w:r>
        <w:rPr>
          <w:rFonts w:hint="eastAsia" w:hAnsi="仿宋_GB2312" w:cs="仿宋_GB2312"/>
          <w:color w:val="auto"/>
          <w:sz w:val="28"/>
          <w:szCs w:val="28"/>
          <w:highlight w:val="none"/>
          <w:lang w:val="en-US" w:eastAsia="zh-CN"/>
        </w:rPr>
        <w:t>小于等于32万元</w:t>
      </w:r>
      <w:r>
        <w:rPr>
          <w:rFonts w:hint="eastAsia" w:ascii="仿宋_GB2312" w:hAnsi="仿宋_GB2312" w:cs="仿宋_GB2312"/>
          <w:color w:val="auto"/>
          <w:sz w:val="28"/>
          <w:szCs w:val="28"/>
          <w:highlight w:val="none"/>
        </w:rPr>
        <w:t>，实际完成指标值为</w:t>
      </w:r>
      <w:r>
        <w:rPr>
          <w:rFonts w:hint="eastAsia" w:hAnsi="仿宋_GB2312" w:cs="仿宋_GB2312"/>
          <w:color w:val="auto"/>
          <w:sz w:val="28"/>
          <w:szCs w:val="28"/>
          <w:highlight w:val="none"/>
          <w:lang w:val="en-US" w:eastAsia="zh-CN"/>
        </w:rPr>
        <w:t>56.42万元</w:t>
      </w:r>
      <w:r>
        <w:rPr>
          <w:rFonts w:hint="eastAsia" w:ascii="仿宋_GB2312" w:hAnsi="仿宋_GB2312" w:cs="仿宋_GB2312"/>
          <w:color w:val="auto"/>
          <w:sz w:val="28"/>
          <w:szCs w:val="28"/>
          <w:highlight w:val="none"/>
        </w:rPr>
        <w:t>，指标完成率为</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w:t>
      </w:r>
      <w:r>
        <w:rPr>
          <w:rFonts w:hint="eastAsia" w:ascii="仿宋_GB2312" w:hAnsi="仿宋_GB2312" w:cs="仿宋_GB2312"/>
          <w:color w:val="auto"/>
          <w:sz w:val="28"/>
          <w:szCs w:val="28"/>
          <w:highlight w:val="none"/>
        </w:rPr>
        <w:t>根据单位实际情况，资金统筹支出。改进措施：由单位绩效牵头部门组织相关科室填报绩效目标表，严格内部审核程序，确保测算目标符合单位实际情况，提高准确率。</w:t>
      </w:r>
      <w:r>
        <w:rPr>
          <w:rFonts w:hint="eastAsia" w:ascii="仿宋_GB2312" w:cs="仿宋_GB2312"/>
          <w:color w:val="auto"/>
          <w:sz w:val="28"/>
          <w:szCs w:val="28"/>
          <w:highlight w:val="none"/>
        </w:rPr>
        <w:t>本指标满分为</w:t>
      </w:r>
      <w:r>
        <w:rPr>
          <w:rFonts w:hint="eastAsia" w:cs="仿宋_GB2312"/>
          <w:color w:val="auto"/>
          <w:sz w:val="28"/>
          <w:szCs w:val="28"/>
          <w:highlight w:val="none"/>
          <w:lang w:val="en-US" w:eastAsia="zh-CN"/>
        </w:rPr>
        <w:t>1.</w:t>
      </w:r>
      <w:r>
        <w:rPr>
          <w:rFonts w:hint="eastAsia" w:hAnsi="仿宋_GB2312" w:cs="仿宋_GB2312"/>
          <w:color w:val="auto"/>
          <w:sz w:val="28"/>
          <w:szCs w:val="28"/>
          <w:highlight w:val="none"/>
          <w:lang w:val="en-US" w:eastAsia="zh-CN"/>
        </w:rPr>
        <w:t>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14:paraId="71026FB6">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（四）项目效益情况</w:t>
      </w:r>
    </w:p>
    <w:p w14:paraId="3288B11B">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65A1BCEE">
      <w:pPr>
        <w:pStyle w:val="6"/>
        <w:bidi w:val="0"/>
        <w:rPr>
          <w:rFonts w:hint="eastAsia" w:ascii="仿宋_GB2312" w:hAnsi="仿宋_GB2312" w:eastAsia="仿宋_GB2312" w:cs="仿宋_GB2312"/>
          <w:b/>
          <w:bCs/>
          <w:kern w:val="0"/>
          <w:sz w:val="28"/>
          <w:szCs w:val="28"/>
          <w:highlight w:val="none"/>
          <w:lang w:val="en-US" w:eastAsia="zh-CN" w:bidi="ar-SA"/>
        </w:rPr>
      </w:pPr>
      <w:r>
        <w:rPr>
          <w:rFonts w:hint="eastAsia" w:ascii="仿宋_GB2312" w:hAnsi="仿宋_GB2312" w:cs="仿宋_GB2312"/>
          <w:b/>
          <w:bCs/>
          <w:sz w:val="28"/>
          <w:szCs w:val="28"/>
          <w:highlight w:val="none"/>
          <w:lang w:val="en-US" w:eastAsia="zh-CN"/>
        </w:rPr>
        <w:t>1.经济</w:t>
      </w:r>
      <w:r>
        <w:rPr>
          <w:rFonts w:hint="eastAsia" w:ascii="仿宋_GB2312"/>
          <w:b/>
          <w:bCs/>
          <w:sz w:val="28"/>
          <w:szCs w:val="28"/>
          <w:highlight w:val="none"/>
        </w:rPr>
        <w:t>效益</w:t>
      </w:r>
      <w:r>
        <w:rPr>
          <w:rFonts w:hint="eastAsia" w:ascii="仿宋_GB2312" w:hAnsi="仿宋_GB2312" w:cs="仿宋_GB2312"/>
          <w:b/>
          <w:bCs/>
          <w:sz w:val="28"/>
          <w:szCs w:val="28"/>
          <w:highlight w:val="none"/>
          <w:lang w:val="en-US" w:eastAsia="zh-CN"/>
        </w:rPr>
        <w:t>指标完成情况分析</w:t>
      </w:r>
    </w:p>
    <w:p w14:paraId="3969ED52">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提高社区经济发展水平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达到年度指标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0033E9A0">
      <w:pPr>
        <w:pStyle w:val="6"/>
        <w:bidi w:val="0"/>
        <w:rPr>
          <w:rFonts w:hint="eastAsia" w:ascii="仿宋_GB2312" w:hAnsi="仿宋_GB2312" w:eastAsia="仿宋_GB2312" w:cs="仿宋_GB2312"/>
          <w:b/>
          <w:bCs/>
          <w:kern w:val="0"/>
          <w:sz w:val="28"/>
          <w:szCs w:val="28"/>
          <w:highlight w:val="none"/>
          <w:lang w:val="en-US" w:eastAsia="zh-CN" w:bidi="ar-SA"/>
        </w:rPr>
      </w:pPr>
      <w:r>
        <w:rPr>
          <w:rFonts w:hint="eastAsia" w:ascii="仿宋_GB2312" w:hAnsi="仿宋_GB2312" w:cs="仿宋_GB2312"/>
          <w:b/>
          <w:bCs/>
          <w:sz w:val="28"/>
          <w:szCs w:val="28"/>
          <w:highlight w:val="none"/>
          <w:lang w:val="en-US" w:eastAsia="zh-CN"/>
        </w:rPr>
        <w:t>2.</w:t>
      </w:r>
      <w:r>
        <w:rPr>
          <w:rFonts w:hint="eastAsia" w:cs="仿宋_GB2312"/>
          <w:b/>
          <w:bCs/>
          <w:sz w:val="28"/>
          <w:szCs w:val="28"/>
          <w:highlight w:val="none"/>
          <w:lang w:val="en-US" w:eastAsia="zh-CN"/>
        </w:rPr>
        <w:t>社会效益</w:t>
      </w:r>
      <w:r>
        <w:rPr>
          <w:rFonts w:hint="eastAsia" w:ascii="仿宋_GB2312" w:hAnsi="仿宋_GB2312" w:cs="仿宋_GB2312"/>
          <w:b/>
          <w:bCs/>
          <w:sz w:val="28"/>
          <w:szCs w:val="28"/>
          <w:highlight w:val="none"/>
          <w:lang w:val="en-US" w:eastAsia="zh-CN"/>
        </w:rPr>
        <w:t>指标完成情况分析</w:t>
      </w:r>
    </w:p>
    <w:p w14:paraId="79D4F1A9">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提高群众社会安全感</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达到年度指标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23C20155">
      <w:pPr>
        <w:pStyle w:val="6"/>
        <w:bidi w:val="0"/>
        <w:rPr>
          <w:rFonts w:hint="eastAsia"/>
          <w:highlight w:val="none"/>
          <w:lang w:val="en-US" w:eastAsia="zh-CN"/>
        </w:rPr>
      </w:pPr>
      <w:r>
        <w:rPr>
          <w:rFonts w:hint="eastAsia"/>
          <w:highlight w:val="none"/>
          <w:lang w:val="en-US" w:eastAsia="zh-CN"/>
        </w:rPr>
        <w:t>3.生态效益指标完成情况分析</w:t>
      </w:r>
    </w:p>
    <w:p w14:paraId="517D8E96">
      <w:pPr>
        <w:pStyle w:val="6"/>
        <w:bidi w:val="0"/>
        <w:rPr>
          <w:rFonts w:hint="eastAsia" w:cs="仿宋_GB2312"/>
          <w:b w:val="0"/>
          <w:bCs w:val="0"/>
          <w:color w:val="auto"/>
          <w:sz w:val="28"/>
          <w:szCs w:val="28"/>
          <w:highlight w:val="none"/>
          <w:lang w:val="en-US" w:eastAsia="zh-CN"/>
        </w:rPr>
      </w:pPr>
      <w:r>
        <w:rPr>
          <w:rFonts w:hint="eastAsia" w:cs="仿宋_GB2312"/>
          <w:b w:val="0"/>
          <w:bCs w:val="0"/>
          <w:color w:val="auto"/>
          <w:sz w:val="28"/>
          <w:szCs w:val="28"/>
          <w:highlight w:val="none"/>
          <w:lang w:val="en-US" w:eastAsia="zh-CN"/>
        </w:rPr>
        <w:t>无</w:t>
      </w:r>
    </w:p>
    <w:p w14:paraId="3455B4FB">
      <w:pPr>
        <w:pStyle w:val="6"/>
        <w:bidi w:val="0"/>
        <w:rPr>
          <w:rFonts w:hint="eastAsia"/>
          <w:highlight w:val="none"/>
          <w:lang w:val="en-US" w:eastAsia="zh-CN"/>
        </w:rPr>
      </w:pPr>
      <w:r>
        <w:rPr>
          <w:rFonts w:hint="eastAsia"/>
          <w:highlight w:val="none"/>
          <w:lang w:val="en-US" w:eastAsia="zh-CN"/>
        </w:rPr>
        <w:t>4.满意度指标完成情况分析</w:t>
      </w:r>
    </w:p>
    <w:bookmarkEnd w:id="15"/>
    <w:p w14:paraId="0696A19A">
      <w:pPr>
        <w:bidi w:val="0"/>
        <w:rPr>
          <w:rFonts w:hint="eastAsia" w:ascii="仿宋_GB2312" w:hAnsi="仿宋_GB2312" w:cs="仿宋_GB2312"/>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10%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90.4%</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p>
    <w:p w14:paraId="3797EEA0">
      <w:pPr>
        <w:pStyle w:val="2"/>
        <w:rPr>
          <w:rFonts w:hint="eastAsia"/>
          <w:b/>
          <w:bCs/>
          <w:highlight w:val="none"/>
        </w:rPr>
      </w:pPr>
      <w:r>
        <w:rPr>
          <w:rFonts w:hint="eastAsia"/>
          <w:b/>
          <w:bCs/>
          <w:highlight w:val="none"/>
          <w:lang w:val="en-US" w:eastAsia="zh-CN"/>
        </w:rPr>
        <w:t>五、预算执行进度与绩效指标偏差</w:t>
      </w:r>
    </w:p>
    <w:p w14:paraId="4B212C8A">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资金341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资金341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321.65</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94.33</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52.4</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w:t>
      </w:r>
      <w:r>
        <w:rPr>
          <w:rFonts w:hint="eastAsia" w:ascii="仿宋_GB2312" w:hAnsi="仿宋_GB2312" w:cs="仿宋_GB2312"/>
          <w:color w:val="auto"/>
          <w:sz w:val="28"/>
          <w:szCs w:val="28"/>
          <w:highlight w:val="none"/>
        </w:rPr>
        <w:t>预算执行进度与绩效指标</w:t>
      </w:r>
      <w:r>
        <w:rPr>
          <w:rFonts w:hint="eastAsia" w:ascii="仿宋_GB2312" w:hAnsi="仿宋_GB2312" w:cs="仿宋_GB2312"/>
          <w:color w:val="auto"/>
          <w:sz w:val="28"/>
          <w:szCs w:val="28"/>
          <w:highlight w:val="none"/>
          <w:lang w:val="en-US" w:eastAsia="zh-CN"/>
        </w:rPr>
        <w:t>完成进度</w:t>
      </w:r>
      <w:r>
        <w:rPr>
          <w:rFonts w:hint="eastAsia" w:ascii="仿宋_GB2312" w:hAnsi="仿宋_GB2312" w:cs="仿宋_GB2312"/>
          <w:color w:val="auto"/>
          <w:sz w:val="28"/>
          <w:szCs w:val="28"/>
          <w:highlight w:val="none"/>
        </w:rPr>
        <w:t>偏差</w:t>
      </w:r>
      <w:r>
        <w:rPr>
          <w:rFonts w:hint="eastAsia" w:ascii="仿宋_GB2312" w:hAnsi="仿宋_GB2312" w:cs="仿宋_GB2312"/>
          <w:color w:val="auto"/>
          <w:sz w:val="28"/>
          <w:szCs w:val="28"/>
          <w:highlight w:val="none"/>
          <w:lang w:val="en-US" w:eastAsia="zh-CN"/>
        </w:rPr>
        <w:t>值为41.93</w:t>
      </w:r>
      <w:r>
        <w:rPr>
          <w:rFonts w:hint="eastAsia" w:ascii="仿宋_GB2312" w:hAnsi="仿宋_GB2312" w:cs="仿宋_GB2312"/>
          <w:color w:val="auto"/>
          <w:sz w:val="28"/>
          <w:szCs w:val="28"/>
          <w:highlight w:val="none"/>
        </w:rPr>
        <w:t>%。</w:t>
      </w:r>
    </w:p>
    <w:p w14:paraId="7C37D547">
      <w:pPr>
        <w:pStyle w:val="2"/>
        <w:rPr>
          <w:b/>
          <w:bCs/>
          <w:highlight w:val="none"/>
        </w:rPr>
      </w:pPr>
      <w:r>
        <w:rPr>
          <w:rFonts w:hint="eastAsia"/>
          <w:b/>
          <w:bCs/>
          <w:highlight w:val="none"/>
          <w:lang w:eastAsia="zh-CN"/>
        </w:rPr>
        <w:t>六</w:t>
      </w:r>
      <w:r>
        <w:rPr>
          <w:rFonts w:hint="eastAsia"/>
          <w:b/>
          <w:bCs/>
          <w:highlight w:val="none"/>
        </w:rPr>
        <w:t>、主要经验及做法、存在的问题及原因分析</w:t>
      </w:r>
    </w:p>
    <w:p w14:paraId="1C2F376C">
      <w:pPr>
        <w:pStyle w:val="5"/>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7A30EEF1">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FDB24AA">
      <w:pPr>
        <w:pStyle w:val="5"/>
        <w:numPr>
          <w:ilvl w:val="0"/>
          <w:numId w:val="0"/>
        </w:numPr>
        <w:ind w:firstLine="643" w:firstLineChars="200"/>
        <w:rPr>
          <w:color w:val="auto"/>
          <w:highlight w:val="none"/>
        </w:rPr>
      </w:pPr>
      <w:r>
        <w:rPr>
          <w:rFonts w:hint="eastAsia"/>
          <w:color w:val="auto"/>
          <w:highlight w:val="none"/>
          <w:lang w:val="en-US" w:eastAsia="zh-CN"/>
        </w:rPr>
        <w:t>（二）存</w:t>
      </w:r>
      <w:r>
        <w:rPr>
          <w:rFonts w:hint="eastAsia"/>
          <w:color w:val="auto"/>
          <w:highlight w:val="none"/>
        </w:rPr>
        <w:t>在的问题及原因分析</w:t>
      </w:r>
    </w:p>
    <w:p w14:paraId="3665A16C">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1、根据单位实际情况，资金统筹支出，部分资金未按预期值支出，基建维修维护费超出预期，资金分配不够合理，与实际工作任务不够匹配。</w:t>
      </w:r>
    </w:p>
    <w:p w14:paraId="622BE81F">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2、绩效指标之间关联性不足，指标设置质量需要进一步提高。</w:t>
      </w:r>
    </w:p>
    <w:p w14:paraId="3C3CDFC7">
      <w:pPr>
        <w:pStyle w:val="2"/>
        <w:rPr>
          <w:rFonts w:hint="eastAsia"/>
          <w:b/>
          <w:bCs/>
          <w:highlight w:val="none"/>
          <w:lang w:eastAsia="zh-CN"/>
        </w:rPr>
      </w:pPr>
      <w:r>
        <w:rPr>
          <w:rFonts w:hint="eastAsia"/>
          <w:b/>
          <w:bCs/>
          <w:highlight w:val="none"/>
          <w:lang w:eastAsia="zh-CN"/>
        </w:rPr>
        <w:t>七、有关建议</w:t>
      </w:r>
    </w:p>
    <w:p w14:paraId="79DA0A40">
      <w:pPr>
        <w:pStyle w:val="2"/>
        <w:rPr>
          <w:rFonts w:hint="eastAsia" w:ascii="仿宋_GB2312" w:hAnsi="仿宋_GB2312" w:cs="仿宋_GB2312"/>
          <w:color w:val="auto"/>
          <w:sz w:val="28"/>
          <w:szCs w:val="28"/>
          <w:highlight w:val="none"/>
          <w:lang w:val="en-US" w:eastAsia="zh-CN"/>
        </w:rPr>
      </w:pPr>
      <w:r>
        <w:rPr>
          <w:rFonts w:hint="eastAsia" w:hAnsi="仿宋_GB2312" w:cs="仿宋_GB2312"/>
          <w:color w:val="auto"/>
          <w:sz w:val="28"/>
          <w:szCs w:val="28"/>
          <w:highlight w:val="none"/>
          <w:lang w:val="en-US" w:eastAsia="zh-CN"/>
        </w:rPr>
        <w:t>1、</w:t>
      </w:r>
      <w:r>
        <w:rPr>
          <w:rFonts w:hint="eastAsia" w:ascii="仿宋_GB2312" w:hAnsi="仿宋_GB2312" w:cs="仿宋_GB2312"/>
          <w:color w:val="auto"/>
          <w:sz w:val="28"/>
          <w:szCs w:val="28"/>
          <w:highlight w:val="none"/>
          <w:lang w:val="en-US" w:eastAsia="zh-CN"/>
        </w:rPr>
        <w:t>在下年度项目绩效管理评价工作开展时注意从指标设置时依据项目支出预算，做好事前评估和指标设置，突出重点，指标设置“少而精”，在监控过程中注意资金执行率与项目开展进度相互匹配。</w:t>
      </w:r>
    </w:p>
    <w:p w14:paraId="5F15755E">
      <w:pPr>
        <w:pStyle w:val="2"/>
        <w:rPr>
          <w:rFonts w:hint="eastAsia" w:ascii="仿宋_GB2312" w:hAnsi="仿宋_GB2312" w:cs="仿宋_GB2312"/>
          <w:color w:val="auto"/>
          <w:sz w:val="28"/>
          <w:szCs w:val="28"/>
          <w:highlight w:val="none"/>
          <w:lang w:val="en-US" w:eastAsia="zh-CN"/>
        </w:rPr>
      </w:pPr>
      <w:r>
        <w:rPr>
          <w:rFonts w:hint="eastAsia" w:hAnsi="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val="en-US" w:eastAsia="zh-CN"/>
        </w:rPr>
        <w:t>加强财务管理，严格财务审批。按照预算规定的费用项目和用途进行资金使用、审核，列报支付，杜绝超支现象的发生。</w:t>
      </w:r>
    </w:p>
    <w:p w14:paraId="5F691FF2">
      <w:pPr>
        <w:pStyle w:val="2"/>
        <w:rPr>
          <w:rFonts w:hint="eastAsia" w:ascii="仿宋_GB2312" w:hAnsi="仿宋_GB2312" w:cs="仿宋_GB2312"/>
          <w:color w:val="auto"/>
          <w:sz w:val="28"/>
          <w:szCs w:val="28"/>
          <w:highlight w:val="none"/>
          <w:lang w:val="en-US" w:eastAsia="zh-CN"/>
        </w:rPr>
      </w:pPr>
      <w:r>
        <w:rPr>
          <w:rFonts w:hint="eastAsia"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lang w:val="en-US" w:eastAsia="zh-CN"/>
        </w:rPr>
        <w:t>、由单位绩效牵头部门组织相关科室填报绩效目标表，严格内部审核程序，确保测算目标符合单位实际情况，提高准确率。</w:t>
      </w:r>
    </w:p>
    <w:p w14:paraId="46D9EBB3">
      <w:pPr>
        <w:pStyle w:val="2"/>
        <w:rPr>
          <w:rFonts w:hint="eastAsia" w:ascii="仿宋_GB2312" w:hAnsi="仿宋_GB2312" w:cs="仿宋_GB2312"/>
          <w:color w:val="auto"/>
          <w:sz w:val="28"/>
          <w:szCs w:val="28"/>
          <w:highlight w:val="none"/>
          <w:lang w:val="en-US" w:eastAsia="zh-CN"/>
        </w:rPr>
      </w:pPr>
      <w:r>
        <w:rPr>
          <w:rFonts w:hint="eastAsia"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lang w:val="en-US" w:eastAsia="zh-CN"/>
        </w:rPr>
        <w:t>、加强宣传动员和教育培训，引导机关干部和工作人员逐步树立绩效理念，了解掌握绩效管理的基本要求和操作规程，强化绩效管理工作的科学性和规范性。</w:t>
      </w:r>
    </w:p>
    <w:p w14:paraId="46495954">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352D9792">
      <w:pPr>
        <w:ind w:firstLine="544"/>
        <w:rPr>
          <w:color w:val="auto"/>
          <w:spacing w:val="-4"/>
          <w:szCs w:val="32"/>
          <w:highlight w:val="none"/>
        </w:rPr>
      </w:pPr>
      <w:r>
        <w:rPr>
          <w:rFonts w:hint="eastAsia" w:ascii="仿宋_GB2312" w:hAnsi="仿宋_GB2312" w:eastAsia="仿宋_GB2312" w:cs="仿宋_GB2312"/>
          <w:color w:val="auto"/>
          <w:kern w:val="2"/>
          <w:sz w:val="28"/>
          <w:szCs w:val="28"/>
          <w:highlight w:val="none"/>
          <w:lang w:val="en-US" w:eastAsia="zh-CN" w:bidi="ar-SA"/>
        </w:rPr>
        <w:t>我单位对上述项目支出绩效评价报告内反映内容的真实性、完整性负责，接受上级部门及社会公众监督。</w:t>
      </w:r>
    </w:p>
    <w:p w14:paraId="2DEE8225">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7018FAAB">
      <w:pPr>
        <w:ind w:firstLine="560"/>
        <w:rPr>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B845C">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75E43">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7B7BE">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8FC88">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F91526">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F91526">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2F7B5">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23DB2">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6B081">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2QzN2U3Yzc1ZDhiOWJiMzUzODU4NWExMmNjZWUifQ=="/>
  </w:docVars>
  <w:rsids>
    <w:rsidRoot w:val="00000000"/>
    <w:rsid w:val="000D43E4"/>
    <w:rsid w:val="00685B08"/>
    <w:rsid w:val="00A02E31"/>
    <w:rsid w:val="012D66CB"/>
    <w:rsid w:val="01497A69"/>
    <w:rsid w:val="01B96726"/>
    <w:rsid w:val="01CA5CC8"/>
    <w:rsid w:val="02A47AB6"/>
    <w:rsid w:val="02B50726"/>
    <w:rsid w:val="02E965B1"/>
    <w:rsid w:val="03AC1B29"/>
    <w:rsid w:val="04020E77"/>
    <w:rsid w:val="04DD2D79"/>
    <w:rsid w:val="054D26B9"/>
    <w:rsid w:val="05EA024D"/>
    <w:rsid w:val="06340871"/>
    <w:rsid w:val="07D323E1"/>
    <w:rsid w:val="07F70453"/>
    <w:rsid w:val="080F2C79"/>
    <w:rsid w:val="08413577"/>
    <w:rsid w:val="086038C5"/>
    <w:rsid w:val="0955726C"/>
    <w:rsid w:val="09985166"/>
    <w:rsid w:val="09FA29BA"/>
    <w:rsid w:val="0A4C497A"/>
    <w:rsid w:val="0B0662B5"/>
    <w:rsid w:val="0B57681E"/>
    <w:rsid w:val="0B867103"/>
    <w:rsid w:val="0C414DC9"/>
    <w:rsid w:val="0F157B90"/>
    <w:rsid w:val="0F5A3F09"/>
    <w:rsid w:val="0F6B527E"/>
    <w:rsid w:val="109408CD"/>
    <w:rsid w:val="109C501F"/>
    <w:rsid w:val="12191517"/>
    <w:rsid w:val="13655850"/>
    <w:rsid w:val="13974BA2"/>
    <w:rsid w:val="14706BA3"/>
    <w:rsid w:val="1475216B"/>
    <w:rsid w:val="147C030F"/>
    <w:rsid w:val="151501EB"/>
    <w:rsid w:val="167E55A1"/>
    <w:rsid w:val="17B35DB7"/>
    <w:rsid w:val="17D60E0D"/>
    <w:rsid w:val="182B19A1"/>
    <w:rsid w:val="18F413F9"/>
    <w:rsid w:val="19AA68E9"/>
    <w:rsid w:val="19EF2C2D"/>
    <w:rsid w:val="19F35393"/>
    <w:rsid w:val="1A2521DD"/>
    <w:rsid w:val="1B2A7E54"/>
    <w:rsid w:val="1C5418FB"/>
    <w:rsid w:val="1C8C2744"/>
    <w:rsid w:val="1D6639E9"/>
    <w:rsid w:val="1EB928D2"/>
    <w:rsid w:val="210C7C53"/>
    <w:rsid w:val="24A1001F"/>
    <w:rsid w:val="2605346B"/>
    <w:rsid w:val="260721B6"/>
    <w:rsid w:val="264D28A0"/>
    <w:rsid w:val="27233BB2"/>
    <w:rsid w:val="27621B07"/>
    <w:rsid w:val="28982400"/>
    <w:rsid w:val="28B37798"/>
    <w:rsid w:val="28E166CB"/>
    <w:rsid w:val="29181EC4"/>
    <w:rsid w:val="2A2874E6"/>
    <w:rsid w:val="2ADB2B70"/>
    <w:rsid w:val="2B9E5CEA"/>
    <w:rsid w:val="2BD16F07"/>
    <w:rsid w:val="2D02595C"/>
    <w:rsid w:val="2DA26412"/>
    <w:rsid w:val="2E041F0D"/>
    <w:rsid w:val="2E24038A"/>
    <w:rsid w:val="2E8032A2"/>
    <w:rsid w:val="2ED003CB"/>
    <w:rsid w:val="2EDE49DD"/>
    <w:rsid w:val="2EFA4CA8"/>
    <w:rsid w:val="30311CBE"/>
    <w:rsid w:val="30696528"/>
    <w:rsid w:val="30EE07AD"/>
    <w:rsid w:val="31224929"/>
    <w:rsid w:val="31735E7A"/>
    <w:rsid w:val="31CA1248"/>
    <w:rsid w:val="320F0733"/>
    <w:rsid w:val="32440B06"/>
    <w:rsid w:val="32BF3AE8"/>
    <w:rsid w:val="3363357A"/>
    <w:rsid w:val="34267EA5"/>
    <w:rsid w:val="3466561E"/>
    <w:rsid w:val="34F66E82"/>
    <w:rsid w:val="35C404F7"/>
    <w:rsid w:val="36485520"/>
    <w:rsid w:val="371C3EF6"/>
    <w:rsid w:val="37830AB3"/>
    <w:rsid w:val="38A91E32"/>
    <w:rsid w:val="39330366"/>
    <w:rsid w:val="398B3CB6"/>
    <w:rsid w:val="3B754CA6"/>
    <w:rsid w:val="3C9B3561"/>
    <w:rsid w:val="3CA62856"/>
    <w:rsid w:val="3D714C6E"/>
    <w:rsid w:val="3EA80B63"/>
    <w:rsid w:val="3EE01D9D"/>
    <w:rsid w:val="3F876585"/>
    <w:rsid w:val="3FBD3488"/>
    <w:rsid w:val="3FF83F1E"/>
    <w:rsid w:val="40D73D5E"/>
    <w:rsid w:val="41827F9D"/>
    <w:rsid w:val="422E698D"/>
    <w:rsid w:val="4280721C"/>
    <w:rsid w:val="42B51AA1"/>
    <w:rsid w:val="434A3F97"/>
    <w:rsid w:val="435272F0"/>
    <w:rsid w:val="436B4877"/>
    <w:rsid w:val="441D13D9"/>
    <w:rsid w:val="45BA53F6"/>
    <w:rsid w:val="462036D5"/>
    <w:rsid w:val="46256775"/>
    <w:rsid w:val="462A546E"/>
    <w:rsid w:val="463E3B5B"/>
    <w:rsid w:val="486378A9"/>
    <w:rsid w:val="48947351"/>
    <w:rsid w:val="490E1F0B"/>
    <w:rsid w:val="49766EAE"/>
    <w:rsid w:val="498D3117"/>
    <w:rsid w:val="49EA3937"/>
    <w:rsid w:val="4A272735"/>
    <w:rsid w:val="4A5F709C"/>
    <w:rsid w:val="4BF076A6"/>
    <w:rsid w:val="4C8521EF"/>
    <w:rsid w:val="4D783DF7"/>
    <w:rsid w:val="4DDC25D7"/>
    <w:rsid w:val="4E653C7E"/>
    <w:rsid w:val="4F616DCB"/>
    <w:rsid w:val="50AF598D"/>
    <w:rsid w:val="533A4359"/>
    <w:rsid w:val="54332172"/>
    <w:rsid w:val="54B57112"/>
    <w:rsid w:val="555E3E29"/>
    <w:rsid w:val="56156687"/>
    <w:rsid w:val="566C201F"/>
    <w:rsid w:val="56737851"/>
    <w:rsid w:val="56B50954"/>
    <w:rsid w:val="56F95FA8"/>
    <w:rsid w:val="57E86E78"/>
    <w:rsid w:val="59D423B5"/>
    <w:rsid w:val="59F64A21"/>
    <w:rsid w:val="5AB800BD"/>
    <w:rsid w:val="5B50709C"/>
    <w:rsid w:val="5CFB5EAA"/>
    <w:rsid w:val="5E2631B6"/>
    <w:rsid w:val="5E557F1E"/>
    <w:rsid w:val="5EAB402C"/>
    <w:rsid w:val="5F061262"/>
    <w:rsid w:val="5F6B21AC"/>
    <w:rsid w:val="5FD57644"/>
    <w:rsid w:val="60C46035"/>
    <w:rsid w:val="616A1C99"/>
    <w:rsid w:val="61B70C1F"/>
    <w:rsid w:val="62D950B7"/>
    <w:rsid w:val="63784B0F"/>
    <w:rsid w:val="637F378A"/>
    <w:rsid w:val="63C129F5"/>
    <w:rsid w:val="645E032F"/>
    <w:rsid w:val="64D62E96"/>
    <w:rsid w:val="64D8544F"/>
    <w:rsid w:val="6570237E"/>
    <w:rsid w:val="65F80CB9"/>
    <w:rsid w:val="66CE3723"/>
    <w:rsid w:val="66EC21C9"/>
    <w:rsid w:val="67D7257C"/>
    <w:rsid w:val="68D74752"/>
    <w:rsid w:val="68DC7DDE"/>
    <w:rsid w:val="691B008E"/>
    <w:rsid w:val="69387B21"/>
    <w:rsid w:val="69EA59A1"/>
    <w:rsid w:val="6ADD2461"/>
    <w:rsid w:val="6BAC5048"/>
    <w:rsid w:val="6BF11DFD"/>
    <w:rsid w:val="6C1244E7"/>
    <w:rsid w:val="6C2079CF"/>
    <w:rsid w:val="6C4E4249"/>
    <w:rsid w:val="6CD4536C"/>
    <w:rsid w:val="6D231231"/>
    <w:rsid w:val="6DB3322E"/>
    <w:rsid w:val="6DBC7AA5"/>
    <w:rsid w:val="6DC4173A"/>
    <w:rsid w:val="6DF64CB8"/>
    <w:rsid w:val="6EB01640"/>
    <w:rsid w:val="6F2B261F"/>
    <w:rsid w:val="6F947A25"/>
    <w:rsid w:val="6FE729EA"/>
    <w:rsid w:val="71A73746"/>
    <w:rsid w:val="731C307C"/>
    <w:rsid w:val="74C74B98"/>
    <w:rsid w:val="7656483B"/>
    <w:rsid w:val="769C111E"/>
    <w:rsid w:val="76D452AC"/>
    <w:rsid w:val="78083733"/>
    <w:rsid w:val="78D30706"/>
    <w:rsid w:val="79FC2075"/>
    <w:rsid w:val="7A0B3779"/>
    <w:rsid w:val="7AA339B1"/>
    <w:rsid w:val="7C4C6D5F"/>
    <w:rsid w:val="7C8F493C"/>
    <w:rsid w:val="7D5B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45"/>
    </w:pPr>
    <w:rPr>
      <w:rFonts w:ascii="仿宋_GB2312" w:eastAsia="仿宋_GB2312"/>
      <w:sz w:val="32"/>
      <w:szCs w:val="32"/>
    </w:r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4">
    <w:name w:val="Strong"/>
    <w:basedOn w:val="1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12321</Words>
  <Characters>12905</Characters>
  <Lines>0</Lines>
  <Paragraphs>0</Paragraphs>
  <TotalTime>16</TotalTime>
  <ScaleCrop>false</ScaleCrop>
  <LinksUpToDate>false</LinksUpToDate>
  <CharactersWithSpaces>12911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2024-11-19T09:29:12Z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8FD60C8AA18747068819A486AD9B72D4</vt:lpwstr>
  </property>
</Properties>
</file>